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57" w:rsidRPr="005D780F" w:rsidRDefault="00984557" w:rsidP="00984557">
      <w:pPr>
        <w:pStyle w:val="Default"/>
        <w:rPr>
          <w:sz w:val="22"/>
          <w:szCs w:val="20"/>
        </w:rPr>
      </w:pPr>
    </w:p>
    <w:p w:rsidR="00984557" w:rsidRPr="005D780F" w:rsidRDefault="00984557" w:rsidP="00984557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 xml:space="preserve">Na temelju članka 100. stavak (7) Zakona o prostornom uređenju i gradnji („Narodne novine” broj 76/07, 38/09, 55/11, 90/11 i 50/12) te članka 31. Statuta Općine Lovran (“Službene novine“ Primorsko-goranske županije br. 30/09), Općinsko vijeće Općine Lovran na __. sjednici održanoj __. _________ 2012. godine, donijelo je </w:t>
      </w:r>
    </w:p>
    <w:p w:rsidR="00984557" w:rsidRPr="005D780F" w:rsidRDefault="00984557" w:rsidP="00984557">
      <w:pPr>
        <w:pStyle w:val="Default"/>
        <w:rPr>
          <w:sz w:val="22"/>
          <w:szCs w:val="20"/>
        </w:rPr>
      </w:pPr>
    </w:p>
    <w:p w:rsidR="00984557" w:rsidRPr="005D780F" w:rsidRDefault="00984557" w:rsidP="00984557">
      <w:pPr>
        <w:pStyle w:val="Default"/>
        <w:rPr>
          <w:sz w:val="22"/>
          <w:szCs w:val="20"/>
        </w:rPr>
      </w:pPr>
    </w:p>
    <w:p w:rsidR="00984557" w:rsidRPr="005D780F" w:rsidRDefault="00984557" w:rsidP="00984557">
      <w:pPr>
        <w:pStyle w:val="Default"/>
        <w:jc w:val="center"/>
        <w:rPr>
          <w:szCs w:val="22"/>
        </w:rPr>
      </w:pPr>
      <w:r w:rsidRPr="005D780F">
        <w:rPr>
          <w:b/>
          <w:bCs/>
          <w:szCs w:val="22"/>
        </w:rPr>
        <w:t>ODLUKU</w:t>
      </w:r>
    </w:p>
    <w:p w:rsidR="00984557" w:rsidRPr="005D780F" w:rsidRDefault="00984557" w:rsidP="00984557">
      <w:pPr>
        <w:pStyle w:val="Default"/>
        <w:jc w:val="center"/>
        <w:rPr>
          <w:szCs w:val="22"/>
        </w:rPr>
      </w:pPr>
      <w:r w:rsidRPr="005D780F">
        <w:rPr>
          <w:b/>
          <w:bCs/>
          <w:szCs w:val="22"/>
        </w:rPr>
        <w:t>o izmjenama i dopunama</w:t>
      </w:r>
    </w:p>
    <w:p w:rsidR="00984557" w:rsidRPr="005D780F" w:rsidRDefault="00984557" w:rsidP="00984557">
      <w:pPr>
        <w:pStyle w:val="Default"/>
        <w:jc w:val="center"/>
        <w:rPr>
          <w:szCs w:val="22"/>
        </w:rPr>
      </w:pPr>
      <w:r w:rsidRPr="005D780F">
        <w:rPr>
          <w:b/>
          <w:bCs/>
          <w:szCs w:val="22"/>
        </w:rPr>
        <w:t>Odluke o donošenju UPU-a 1: Urbanističkog plana uređenja naselja Lovran (NA</w:t>
      </w:r>
      <w:r w:rsidRPr="005D780F">
        <w:rPr>
          <w:b/>
          <w:bCs/>
          <w:sz w:val="16"/>
          <w:szCs w:val="14"/>
        </w:rPr>
        <w:t>1-2</w:t>
      </w:r>
      <w:r w:rsidRPr="005D780F">
        <w:rPr>
          <w:b/>
          <w:bCs/>
          <w:szCs w:val="22"/>
        </w:rPr>
        <w:t>) s površinama za izdvojene namjene (T2</w:t>
      </w:r>
      <w:r w:rsidRPr="005D780F">
        <w:rPr>
          <w:b/>
          <w:bCs/>
          <w:sz w:val="16"/>
          <w:szCs w:val="14"/>
        </w:rPr>
        <w:t xml:space="preserve">1 </w:t>
      </w:r>
      <w:r w:rsidRPr="005D780F">
        <w:rPr>
          <w:b/>
          <w:bCs/>
          <w:szCs w:val="22"/>
        </w:rPr>
        <w:t>i/ili T2, T1</w:t>
      </w:r>
      <w:r w:rsidRPr="005D780F">
        <w:rPr>
          <w:b/>
          <w:bCs/>
          <w:sz w:val="16"/>
          <w:szCs w:val="14"/>
        </w:rPr>
        <w:t xml:space="preserve">2 </w:t>
      </w:r>
      <w:r w:rsidRPr="005D780F">
        <w:rPr>
          <w:b/>
          <w:bCs/>
          <w:szCs w:val="22"/>
        </w:rPr>
        <w:t>i/ili T2, T1</w:t>
      </w:r>
      <w:r w:rsidRPr="005D780F">
        <w:rPr>
          <w:b/>
          <w:bCs/>
          <w:sz w:val="16"/>
          <w:szCs w:val="14"/>
        </w:rPr>
        <w:t xml:space="preserve">3 </w:t>
      </w:r>
      <w:r w:rsidRPr="005D780F">
        <w:rPr>
          <w:b/>
          <w:bCs/>
          <w:szCs w:val="22"/>
        </w:rPr>
        <w:t>i/ili T2) i</w:t>
      </w:r>
    </w:p>
    <w:p w:rsidR="00984557" w:rsidRDefault="00984557" w:rsidP="00984557">
      <w:pPr>
        <w:pStyle w:val="Default"/>
        <w:jc w:val="center"/>
        <w:rPr>
          <w:b/>
          <w:bCs/>
          <w:szCs w:val="22"/>
        </w:rPr>
      </w:pPr>
      <w:r w:rsidRPr="005D780F">
        <w:rPr>
          <w:b/>
          <w:bCs/>
          <w:szCs w:val="22"/>
        </w:rPr>
        <w:t>UPL</w:t>
      </w:r>
      <w:r w:rsidRPr="005D780F">
        <w:rPr>
          <w:b/>
          <w:bCs/>
          <w:sz w:val="16"/>
          <w:szCs w:val="14"/>
        </w:rPr>
        <w:t xml:space="preserve">1-2 </w:t>
      </w:r>
      <w:r w:rsidRPr="005D780F">
        <w:rPr>
          <w:b/>
          <w:bCs/>
          <w:szCs w:val="22"/>
        </w:rPr>
        <w:t>i UPL</w:t>
      </w:r>
      <w:r w:rsidRPr="005D780F">
        <w:rPr>
          <w:b/>
          <w:bCs/>
          <w:sz w:val="16"/>
          <w:szCs w:val="14"/>
        </w:rPr>
        <w:t xml:space="preserve">2 </w:t>
      </w:r>
      <w:r w:rsidRPr="005D780F">
        <w:rPr>
          <w:b/>
          <w:bCs/>
          <w:szCs w:val="22"/>
        </w:rPr>
        <w:t>te luke</w:t>
      </w:r>
    </w:p>
    <w:p w:rsidR="005D780F" w:rsidRPr="005D780F" w:rsidRDefault="005D780F" w:rsidP="00984557">
      <w:pPr>
        <w:pStyle w:val="Default"/>
        <w:jc w:val="center"/>
        <w:rPr>
          <w:b/>
          <w:bCs/>
          <w:szCs w:val="22"/>
        </w:rPr>
      </w:pPr>
    </w:p>
    <w:p w:rsidR="00984557" w:rsidRPr="005D780F" w:rsidRDefault="00984557" w:rsidP="00984557">
      <w:pPr>
        <w:pStyle w:val="Default"/>
        <w:jc w:val="center"/>
        <w:rPr>
          <w:szCs w:val="22"/>
        </w:rPr>
      </w:pPr>
    </w:p>
    <w:p w:rsidR="00984557" w:rsidRPr="005D780F" w:rsidRDefault="00984557" w:rsidP="00984557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5D780F">
        <w:rPr>
          <w:b/>
          <w:bCs/>
          <w:szCs w:val="23"/>
        </w:rPr>
        <w:t xml:space="preserve">T E M E L J N E </w:t>
      </w:r>
      <w:r w:rsidRPr="005D780F">
        <w:rPr>
          <w:b/>
          <w:bCs/>
          <w:szCs w:val="23"/>
        </w:rPr>
        <w:t xml:space="preserve"> </w:t>
      </w:r>
      <w:r w:rsidRPr="005D780F">
        <w:rPr>
          <w:b/>
          <w:bCs/>
          <w:szCs w:val="23"/>
        </w:rPr>
        <w:t xml:space="preserve">O D R E D B E </w:t>
      </w:r>
    </w:p>
    <w:p w:rsidR="00984557" w:rsidRPr="005D780F" w:rsidRDefault="00984557" w:rsidP="00984557">
      <w:pPr>
        <w:pStyle w:val="Default"/>
        <w:ind w:left="1080"/>
        <w:rPr>
          <w:szCs w:val="23"/>
        </w:rPr>
      </w:pPr>
    </w:p>
    <w:p w:rsidR="00984557" w:rsidRPr="005D780F" w:rsidRDefault="00984557" w:rsidP="00984557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1.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1. dodaje se stavak 3. koji glasi: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“Donose se izmjene i dopune Urbanistički plan uređenja naselja Lovran (UPU 1), što ga je izradila tvrtka Centar za prostorno uređenje i arhitekturu d.o.o. iz Zagreba.”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984557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2.</w:t>
      </w:r>
    </w:p>
    <w:p w:rsidR="00984557" w:rsidRPr="005D780F" w:rsidRDefault="00984557" w:rsidP="00984557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4. dodaju se stavci 5. i 6.: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“Druge izmjene i dopune Plana sadržane su u elaboratu “Druge izmjene i dopune Urbanističkog plana uređenja naselja Lovran (UPU 1)” koji se sastoji od: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A. TEKSTUALNOG DIJELA koji sadrži: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- Odredbe za provođenje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B. GRAFIČKOG DIJELA koji sadrži kartografske prikaze u mj. 1 : 2.000: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1. KORIŠTENJE I NAMJENA POVRŠINA (izmjene i dopune)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2. PROMETNA, ULIČNA I KOMUNALNA INFRASTRUKTURNA MREŽA </w:t>
      </w:r>
    </w:p>
    <w:p w:rsidR="00984557" w:rsidRPr="005D780F" w:rsidRDefault="00984557" w:rsidP="00984557">
      <w:pPr>
        <w:pStyle w:val="Default"/>
        <w:ind w:left="1416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2.A. Promet (izmjene i dopune) </w:t>
      </w:r>
    </w:p>
    <w:p w:rsidR="00984557" w:rsidRPr="005D780F" w:rsidRDefault="00984557" w:rsidP="00984557">
      <w:pPr>
        <w:pStyle w:val="Default"/>
        <w:ind w:left="2124"/>
        <w:rPr>
          <w:sz w:val="22"/>
          <w:szCs w:val="20"/>
        </w:rPr>
      </w:pPr>
      <w:r w:rsidRPr="005D780F">
        <w:rPr>
          <w:sz w:val="22"/>
          <w:szCs w:val="20"/>
        </w:rPr>
        <w:t xml:space="preserve">2.B. Pošta, elektronička komunikacijska infrastruktura i energetski sustav (izmjene i dopune) </w:t>
      </w:r>
    </w:p>
    <w:p w:rsidR="00984557" w:rsidRPr="005D780F" w:rsidRDefault="00984557" w:rsidP="00984557">
      <w:pPr>
        <w:pStyle w:val="Default"/>
        <w:ind w:left="1416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2.C. Vodnogospodarski sustav (izmjene i dopune)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3. UVJETI KORIŠTENJA, UREĐENJA I ZAŠTITE POVRŠINA </w:t>
      </w:r>
    </w:p>
    <w:p w:rsidR="00984557" w:rsidRPr="005D780F" w:rsidRDefault="00984557" w:rsidP="00984557">
      <w:pPr>
        <w:pStyle w:val="Default"/>
        <w:ind w:left="1416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3.A. Uvjeti korištenja (izmjene i dopune) </w:t>
      </w:r>
    </w:p>
    <w:p w:rsidR="00984557" w:rsidRPr="005D780F" w:rsidRDefault="00984557" w:rsidP="00984557">
      <w:pPr>
        <w:pStyle w:val="Default"/>
        <w:ind w:left="1416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3.B. Oblici korištenja (izmjene i dopune)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4. NAČIN I UVJETI GRADNJE (izmjene i dopune) </w:t>
      </w:r>
    </w:p>
    <w:p w:rsidR="00984557" w:rsidRPr="005D780F" w:rsidRDefault="00984557" w:rsidP="00984557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C. OBVEZNIH PRILOGA.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Jedan elaborat koji čini tekstualni i grafički dio Plana iz stavka 5. ovog članka, ovjeren pečatom Općinskog vijeća Općine Lovran i potpisom predsjednice Općinskog vijeća Općine Lovran pohranjen je u pismohrani Općine Lovran i sastavni je dio ove Odluke.”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984557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3.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7., stavak 2., podnaslov 1.7. i 2.4. , briše se riječ “Javne”.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stavku, podnaslov 2.2.2., tekst “plaža Kvarner” se zamjenjuje tekstom “ posebna plaža Kvarner s mogućnošću ograđivanja”. </w:t>
      </w:r>
    </w:p>
    <w:p w:rsidR="00984557" w:rsidRDefault="00984557" w:rsidP="00984557">
      <w:pPr>
        <w:pStyle w:val="Default"/>
        <w:ind w:firstLine="708"/>
        <w:rPr>
          <w:sz w:val="22"/>
          <w:szCs w:val="20"/>
        </w:rPr>
      </w:pPr>
    </w:p>
    <w:p w:rsidR="005D780F" w:rsidRDefault="005D780F" w:rsidP="00984557">
      <w:pPr>
        <w:pStyle w:val="Default"/>
        <w:ind w:firstLine="708"/>
        <w:rPr>
          <w:sz w:val="22"/>
          <w:szCs w:val="20"/>
        </w:rPr>
      </w:pPr>
    </w:p>
    <w:p w:rsidR="005D780F" w:rsidRPr="005D780F" w:rsidRDefault="005D780F" w:rsidP="00984557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984557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lastRenderedPageBreak/>
        <w:t>Članak 4.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9., stavak 1., 2. i 4. brišu se riječi “javne”,”javni” i “javnih”.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984557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5.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19., stavak 1., alineja 25., briše se riječ “javne”.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984557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6.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23., stavak 1. i 2., briše se tekst “/ hoteli”. </w:t>
      </w:r>
    </w:p>
    <w:p w:rsidR="00F665FF" w:rsidRPr="005D780F" w:rsidRDefault="00984557" w:rsidP="00984557">
      <w:pPr>
        <w:ind w:firstLine="708"/>
        <w:rPr>
          <w:szCs w:val="20"/>
        </w:rPr>
      </w:pPr>
      <w:r w:rsidRPr="005D780F">
        <w:rPr>
          <w:szCs w:val="20"/>
        </w:rPr>
        <w:t>U istom članku, stavak 1., brišu se postojeće alineje i zamjenjuju alinejama:</w:t>
      </w:r>
    </w:p>
    <w:p w:rsidR="00984557" w:rsidRPr="005D780F" w:rsidRDefault="00984557" w:rsidP="005810A3">
      <w:pPr>
        <w:pStyle w:val="Default"/>
        <w:ind w:firstLine="708"/>
        <w:rPr>
          <w:sz w:val="22"/>
          <w:szCs w:val="20"/>
        </w:rPr>
      </w:pPr>
      <w:r w:rsidRPr="005D780F">
        <w:rPr>
          <w:b/>
          <w:bCs/>
          <w:sz w:val="20"/>
          <w:szCs w:val="18"/>
        </w:rPr>
        <w:t xml:space="preserve"> </w:t>
      </w:r>
      <w:r w:rsidRPr="005D780F">
        <w:rPr>
          <w:sz w:val="22"/>
          <w:szCs w:val="20"/>
        </w:rPr>
        <w:t xml:space="preserve">“a) hotele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- Hotel Park (T1-2)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b) vile (turistički apartmani)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- Vila Eugenia (T1-1)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- Vila Primorka (T1-3)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- Vila Zagreb (TA-1) </w:t>
      </w:r>
    </w:p>
    <w:p w:rsidR="00984557" w:rsidRPr="005D780F" w:rsidRDefault="00984557" w:rsidP="00984557">
      <w:pPr>
        <w:pStyle w:val="Default"/>
        <w:ind w:left="708"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- Vila Miramar i Vila Elsa (TA-3) </w:t>
      </w:r>
    </w:p>
    <w:p w:rsidR="00984557" w:rsidRPr="005D780F" w:rsidRDefault="00984557" w:rsidP="00984557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c) turističke komplekse (turistički apartmani) </w:t>
      </w:r>
    </w:p>
    <w:p w:rsidR="00984557" w:rsidRPr="005D780F" w:rsidRDefault="00984557" w:rsidP="00984557">
      <w:pPr>
        <w:pStyle w:val="Default"/>
        <w:ind w:left="1416"/>
        <w:rPr>
          <w:sz w:val="22"/>
          <w:szCs w:val="20"/>
        </w:rPr>
      </w:pPr>
      <w:r w:rsidRPr="005D780F">
        <w:rPr>
          <w:sz w:val="22"/>
          <w:szCs w:val="20"/>
        </w:rPr>
        <w:t xml:space="preserve">- turistički kompleks Splendid (TA-2).”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iza stavka 3. dodaje se stavak 4.: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“Planom su lokacije vila Atlanta, Elsa i Miramar, Belvedere, Danica, Lauriana, Zagreb i turistički kompleks Splenid utvrđene kao specifične zone ugostiteljsko-turističke namjene (TA - turistički apartmani), u kojima se gostima pružaju usluge smještaja u smještajnim jedinicama ustrojenim i opremljenim tako da gost može sam pripremati jela. Navedene se građevine mogu rekonstruirati na način da hotelske sobe budu adaptirane u apartmane ili studio-apartmane.”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7.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25. stavak 1., alineja 2., tekst “plaža Kvarner” se zamjenjuje tekstom “posebna plaža Kvarner s mogućnošću ograđivanja”. </w:t>
      </w:r>
    </w:p>
    <w:p w:rsidR="005D780F" w:rsidRPr="005D780F" w:rsidRDefault="005D780F" w:rsidP="00984557">
      <w:pPr>
        <w:pStyle w:val="Default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8.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29., stavak 1., iza riječi “namjene” dodaje se tekst “te turističkih apartmana”.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stavak 1., u alineji 1. broj “7.000” zamjenjuje se brojem “2.500”, a alineja 3. se briše. </w:t>
      </w:r>
    </w:p>
    <w:p w:rsidR="005D780F" w:rsidRPr="005D780F" w:rsidRDefault="005D780F" w:rsidP="00984557">
      <w:pPr>
        <w:pStyle w:val="Default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9.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31., stavak 1., iza riječi “te” dodaje se tekst “turističkih apartmana, kao i”.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 se oznaka i naziv zone T1</w:t>
      </w:r>
      <w:r w:rsidRPr="005D780F">
        <w:rPr>
          <w:sz w:val="15"/>
          <w:szCs w:val="13"/>
        </w:rPr>
        <w:t xml:space="preserve">2I </w:t>
      </w:r>
      <w:r w:rsidRPr="005D780F">
        <w:rPr>
          <w:sz w:val="22"/>
          <w:szCs w:val="20"/>
        </w:rPr>
        <w:t>Hotel Atlanta mijenjaju u TA</w:t>
      </w:r>
      <w:r w:rsidRPr="005D780F">
        <w:rPr>
          <w:sz w:val="15"/>
          <w:szCs w:val="13"/>
        </w:rPr>
        <w:t xml:space="preserve">2A </w:t>
      </w:r>
      <w:r w:rsidRPr="005D780F">
        <w:rPr>
          <w:sz w:val="22"/>
          <w:szCs w:val="20"/>
        </w:rPr>
        <w:t xml:space="preserve">Vila Atlanta.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 se oznaka zone T1</w:t>
      </w:r>
      <w:r w:rsidRPr="005D780F">
        <w:rPr>
          <w:sz w:val="15"/>
          <w:szCs w:val="13"/>
        </w:rPr>
        <w:t xml:space="preserve">2J </w:t>
      </w:r>
      <w:r w:rsidRPr="005D780F">
        <w:rPr>
          <w:sz w:val="22"/>
          <w:szCs w:val="20"/>
        </w:rPr>
        <w:t>mijenja u T1</w:t>
      </w:r>
      <w:r w:rsidRPr="005D780F">
        <w:rPr>
          <w:sz w:val="15"/>
          <w:szCs w:val="13"/>
        </w:rPr>
        <w:t>2I</w:t>
      </w:r>
      <w:r w:rsidRPr="005D780F">
        <w:rPr>
          <w:sz w:val="22"/>
          <w:szCs w:val="20"/>
        </w:rPr>
        <w:t xml:space="preserve">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 se oznaka zone T1</w:t>
      </w:r>
      <w:r w:rsidRPr="005D780F">
        <w:rPr>
          <w:sz w:val="14"/>
          <w:szCs w:val="12"/>
        </w:rPr>
        <w:t xml:space="preserve">2K </w:t>
      </w:r>
      <w:r w:rsidRPr="005D780F">
        <w:rPr>
          <w:sz w:val="22"/>
          <w:szCs w:val="20"/>
        </w:rPr>
        <w:t>mijenja u T1</w:t>
      </w:r>
      <w:r w:rsidRPr="005D780F">
        <w:rPr>
          <w:sz w:val="14"/>
          <w:szCs w:val="12"/>
        </w:rPr>
        <w:t>2J,</w:t>
      </w:r>
      <w:r w:rsidRPr="005D780F">
        <w:rPr>
          <w:sz w:val="22"/>
          <w:szCs w:val="20"/>
        </w:rPr>
        <w:t xml:space="preserve">, a u istom retku se izgrađenost građevne častice (Hotel Bristol i Vila Belvedere) iz 30% mijenja u 35% te minimalni postotak zelenila građevne čestice (Hotel Bristol i Vila Belvedere) iz 30% u 15%.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 se oznake zone T1</w:t>
      </w:r>
      <w:r w:rsidRPr="005D780F">
        <w:rPr>
          <w:sz w:val="15"/>
          <w:szCs w:val="13"/>
        </w:rPr>
        <w:t>2L</w:t>
      </w:r>
      <w:r w:rsidRPr="005D780F">
        <w:rPr>
          <w:sz w:val="22"/>
          <w:szCs w:val="20"/>
        </w:rPr>
        <w:t>, T1</w:t>
      </w:r>
      <w:r w:rsidRPr="005D780F">
        <w:rPr>
          <w:sz w:val="15"/>
          <w:szCs w:val="13"/>
        </w:rPr>
        <w:t>2M</w:t>
      </w:r>
      <w:r w:rsidRPr="005D780F">
        <w:rPr>
          <w:sz w:val="22"/>
          <w:szCs w:val="20"/>
        </w:rPr>
        <w:t>, T1</w:t>
      </w:r>
      <w:r w:rsidRPr="005D780F">
        <w:rPr>
          <w:sz w:val="15"/>
          <w:szCs w:val="13"/>
        </w:rPr>
        <w:t>2N</w:t>
      </w:r>
      <w:r w:rsidRPr="005D780F">
        <w:rPr>
          <w:sz w:val="22"/>
          <w:szCs w:val="20"/>
        </w:rPr>
        <w:t>, T1</w:t>
      </w:r>
      <w:r w:rsidRPr="005D780F">
        <w:rPr>
          <w:sz w:val="15"/>
          <w:szCs w:val="13"/>
        </w:rPr>
        <w:t xml:space="preserve">2O </w:t>
      </w:r>
      <w:r w:rsidRPr="005D780F">
        <w:rPr>
          <w:sz w:val="22"/>
          <w:szCs w:val="20"/>
        </w:rPr>
        <w:t>i T1</w:t>
      </w:r>
      <w:r w:rsidRPr="005D780F">
        <w:rPr>
          <w:sz w:val="15"/>
          <w:szCs w:val="13"/>
        </w:rPr>
        <w:t xml:space="preserve">2R </w:t>
      </w:r>
      <w:r w:rsidRPr="005D780F">
        <w:rPr>
          <w:sz w:val="22"/>
          <w:szCs w:val="20"/>
        </w:rPr>
        <w:t>mijenjaju u T1</w:t>
      </w:r>
      <w:r w:rsidRPr="005D780F">
        <w:rPr>
          <w:sz w:val="15"/>
          <w:szCs w:val="13"/>
        </w:rPr>
        <w:t>2K</w:t>
      </w:r>
      <w:r w:rsidRPr="005D780F">
        <w:rPr>
          <w:sz w:val="22"/>
          <w:szCs w:val="20"/>
        </w:rPr>
        <w:t>, T1</w:t>
      </w:r>
      <w:r w:rsidRPr="005D780F">
        <w:rPr>
          <w:sz w:val="15"/>
          <w:szCs w:val="13"/>
        </w:rPr>
        <w:t>2L</w:t>
      </w:r>
      <w:r w:rsidRPr="005D780F">
        <w:rPr>
          <w:sz w:val="22"/>
          <w:szCs w:val="20"/>
        </w:rPr>
        <w:t>, T1</w:t>
      </w:r>
      <w:r w:rsidRPr="005D780F">
        <w:rPr>
          <w:sz w:val="15"/>
          <w:szCs w:val="13"/>
        </w:rPr>
        <w:t>2M</w:t>
      </w:r>
      <w:r w:rsidRPr="005D780F">
        <w:rPr>
          <w:sz w:val="22"/>
          <w:szCs w:val="20"/>
        </w:rPr>
        <w:t>, T1</w:t>
      </w:r>
      <w:r w:rsidRPr="005D780F">
        <w:rPr>
          <w:sz w:val="15"/>
          <w:szCs w:val="13"/>
        </w:rPr>
        <w:t xml:space="preserve">2N </w:t>
      </w:r>
      <w:r w:rsidRPr="005D780F">
        <w:rPr>
          <w:sz w:val="22"/>
          <w:szCs w:val="20"/>
        </w:rPr>
        <w:t>i T1</w:t>
      </w:r>
      <w:r w:rsidRPr="005D780F">
        <w:rPr>
          <w:sz w:val="15"/>
          <w:szCs w:val="13"/>
        </w:rPr>
        <w:t>2O</w:t>
      </w:r>
      <w:r w:rsidRPr="005D780F">
        <w:rPr>
          <w:sz w:val="22"/>
          <w:szCs w:val="20"/>
        </w:rPr>
        <w:t xml:space="preserve">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stavak 1., alineja 4, oznaka T1</w:t>
      </w:r>
      <w:r w:rsidRPr="005D780F">
        <w:rPr>
          <w:sz w:val="15"/>
          <w:szCs w:val="13"/>
        </w:rPr>
        <w:t xml:space="preserve">2K </w:t>
      </w:r>
      <w:r w:rsidRPr="005D780F">
        <w:rPr>
          <w:sz w:val="22"/>
          <w:szCs w:val="20"/>
        </w:rPr>
        <w:t>se zamjenjuje oznakom T1</w:t>
      </w:r>
      <w:r w:rsidRPr="005D780F">
        <w:rPr>
          <w:sz w:val="15"/>
          <w:szCs w:val="13"/>
        </w:rPr>
        <w:t>2J</w:t>
      </w:r>
      <w:r w:rsidRPr="005D780F">
        <w:rPr>
          <w:sz w:val="22"/>
          <w:szCs w:val="20"/>
        </w:rPr>
        <w:t xml:space="preserve">. </w:t>
      </w:r>
    </w:p>
    <w:p w:rsid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5810A3" w:rsidRDefault="005810A3" w:rsidP="005D780F">
      <w:pPr>
        <w:pStyle w:val="Default"/>
        <w:ind w:firstLine="708"/>
        <w:rPr>
          <w:sz w:val="22"/>
          <w:szCs w:val="20"/>
        </w:rPr>
      </w:pPr>
    </w:p>
    <w:p w:rsidR="005810A3" w:rsidRDefault="005810A3" w:rsidP="005D780F">
      <w:pPr>
        <w:pStyle w:val="Default"/>
        <w:ind w:firstLine="708"/>
        <w:rPr>
          <w:sz w:val="22"/>
          <w:szCs w:val="20"/>
        </w:rPr>
      </w:pPr>
    </w:p>
    <w:p w:rsidR="005810A3" w:rsidRPr="005D780F" w:rsidRDefault="005810A3" w:rsidP="005D780F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lastRenderedPageBreak/>
        <w:t>Članak 10.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članku 32., stavak 1. briše se tekst “i planirane luke nautičkog turizma (LN) - marina Lovran”, a umjesto oznake T4 dodaje se tekst “TA</w:t>
      </w:r>
      <w:r w:rsidRPr="005D780F">
        <w:rPr>
          <w:sz w:val="15"/>
          <w:szCs w:val="13"/>
        </w:rPr>
        <w:t xml:space="preserve">3 </w:t>
      </w:r>
      <w:r w:rsidRPr="005D780F">
        <w:rPr>
          <w:sz w:val="22"/>
          <w:szCs w:val="20"/>
        </w:rPr>
        <w:t xml:space="preserve">– Vila Lauriana.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stavak 1., dodaje se nova alineja: </w:t>
      </w:r>
    </w:p>
    <w:p w:rsidR="00984557" w:rsidRPr="005D780F" w:rsidRDefault="00984557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“- dozvoljena je rekonstrukcija hotelskih soba u turističke apartmane (apartmane ili studio-apartmane”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Postojeće alineje 1. - 8. postaju alineje 2. – 9. </w:t>
      </w:r>
    </w:p>
    <w:p w:rsidR="005D780F" w:rsidRPr="005D780F" w:rsidRDefault="005D780F" w:rsidP="00984557">
      <w:pPr>
        <w:pStyle w:val="Default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11.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članku 33., stavak 1., oznaka T4</w:t>
      </w:r>
      <w:r w:rsidRPr="005D780F">
        <w:rPr>
          <w:sz w:val="15"/>
          <w:szCs w:val="13"/>
        </w:rPr>
        <w:t xml:space="preserve">2 </w:t>
      </w:r>
      <w:r w:rsidRPr="005D780F">
        <w:rPr>
          <w:sz w:val="22"/>
          <w:szCs w:val="20"/>
        </w:rPr>
        <w:t xml:space="preserve">se zamjenjuje oznakom T4.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stavak 1., alineja 2., briše se tekst “bez smještajnih jedinica”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12.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34., stavak 1., iza riječi “te” dodaje se tekst “turističkih apartmana, kao i”.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 se oznaka i naziv zone “T4</w:t>
      </w:r>
      <w:r w:rsidRPr="005D780F">
        <w:rPr>
          <w:sz w:val="15"/>
          <w:szCs w:val="13"/>
        </w:rPr>
        <w:t xml:space="preserve">1 </w:t>
      </w:r>
      <w:r w:rsidRPr="005D780F">
        <w:rPr>
          <w:sz w:val="22"/>
          <w:szCs w:val="20"/>
        </w:rPr>
        <w:t>(bivši restoran Jadran)” mijenja u “TA</w:t>
      </w:r>
      <w:r w:rsidRPr="005D780F">
        <w:rPr>
          <w:sz w:val="15"/>
          <w:szCs w:val="13"/>
        </w:rPr>
        <w:t xml:space="preserve">3 </w:t>
      </w:r>
      <w:r w:rsidRPr="005D780F">
        <w:rPr>
          <w:sz w:val="22"/>
          <w:szCs w:val="20"/>
        </w:rPr>
        <w:t xml:space="preserve">Vila Lauriana”. </w:t>
      </w:r>
    </w:p>
    <w:p w:rsidR="00984557" w:rsidRPr="005D780F" w:rsidRDefault="00984557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 se oznaka zone T4</w:t>
      </w:r>
      <w:r w:rsidRPr="005D780F">
        <w:rPr>
          <w:sz w:val="15"/>
          <w:szCs w:val="13"/>
        </w:rPr>
        <w:t xml:space="preserve">2 </w:t>
      </w:r>
      <w:r w:rsidRPr="005D780F">
        <w:rPr>
          <w:sz w:val="22"/>
          <w:szCs w:val="20"/>
        </w:rPr>
        <w:t xml:space="preserve">mijenja u T4.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984557" w:rsidRPr="005D780F" w:rsidRDefault="00984557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13.</w:t>
      </w:r>
    </w:p>
    <w:p w:rsidR="00984557" w:rsidRPr="005D780F" w:rsidRDefault="00984557" w:rsidP="00984557">
      <w:pPr>
        <w:ind w:firstLine="708"/>
        <w:rPr>
          <w:szCs w:val="20"/>
        </w:rPr>
      </w:pPr>
      <w:r w:rsidRPr="005D780F">
        <w:rPr>
          <w:szCs w:val="20"/>
        </w:rPr>
        <w:t>U članku 36., stavak 1., alineja 2., tekst “plaža Kvarner” se zamjenjuje tekstom “posebna plaža Kvarner s mogućnošću ograđivanja”.</w:t>
      </w: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14.</w:t>
      </w:r>
    </w:p>
    <w:p w:rsidR="005D780F" w:rsidRPr="005D780F" w:rsidRDefault="005D780F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37., stavak 1. dodaje se alineja: </w:t>
      </w:r>
    </w:p>
    <w:p w:rsidR="005D780F" w:rsidRPr="005D780F" w:rsidRDefault="005D780F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>“- uređena posebna plaža Kvarner (UPL</w:t>
      </w:r>
      <w:r w:rsidRPr="005D780F">
        <w:rPr>
          <w:sz w:val="15"/>
          <w:szCs w:val="13"/>
        </w:rPr>
        <w:t>1-2</w:t>
      </w:r>
      <w:r w:rsidRPr="005D780F">
        <w:rPr>
          <w:sz w:val="22"/>
          <w:szCs w:val="20"/>
        </w:rPr>
        <w:t xml:space="preserve">) može se ograditi”. </w:t>
      </w:r>
    </w:p>
    <w:p w:rsidR="005D780F" w:rsidRPr="005D780F" w:rsidRDefault="005D780F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Postojeće alineje 1. – 8. postaju alineje 2. – 9. </w:t>
      </w:r>
    </w:p>
    <w:p w:rsidR="005D780F" w:rsidRPr="005D780F" w:rsidRDefault="005D780F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>U istom članku, stavak 1., alineja 2., briše se riječ “javnih”.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15.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43., stavak 1., briše se tekst “/ hoteli”.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16.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44., stavak 1., briše se tekst “/ hoteli”, a iza oznake (T1) dodaje se tekst “te turističkih apartmana (TA)”. </w:t>
      </w:r>
    </w:p>
    <w:p w:rsidR="005D780F" w:rsidRPr="005D780F" w:rsidRDefault="005D780F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u tablici, naziv zone “Hotel Primorka” se briše i zamjenjuje nazivom “Vila Primorka”. </w:t>
      </w:r>
    </w:p>
    <w:p w:rsidR="005D780F" w:rsidRPr="005D780F" w:rsidRDefault="005D780F" w:rsidP="005D780F">
      <w:pPr>
        <w:pStyle w:val="Default"/>
        <w:ind w:left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u tablici, briše se redak zona T1-4 Vila Marina.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U istom članku, u tablici, oznaka i naziv zone T1-5 Hotel Zagreb se briše i zamjenjuje oznakom i nazivom TA</w:t>
      </w:r>
      <w:r w:rsidRPr="005D780F">
        <w:rPr>
          <w:sz w:val="15"/>
          <w:szCs w:val="13"/>
        </w:rPr>
        <w:t xml:space="preserve">1 </w:t>
      </w:r>
      <w:r w:rsidRPr="005D780F">
        <w:rPr>
          <w:sz w:val="22"/>
          <w:szCs w:val="20"/>
        </w:rPr>
        <w:t xml:space="preserve">– Vila Zagreb, a izgrađenost građevne čestice se sa 25% povećava na 35%.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u tablici, oznaka i naziv zone T1-6 Hotel Splendid se briše i zamjenjuje oznakom i nazivom TA-2 – Turistički kompleks Splendid.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u tablici, oznaka i naziv zone T1-7 Hotel Miramar i Vila Elsa se briše i zamjenjuje oznakom i nazivom T1-7 – Vila Miramar i Vila Elsa, a minimalni postotak zelenila se sa 30% smanjuje na 25%. U 4. stupcu, uz brojku 17,0 dodaje se tekst “(novi objekt 11,0 m)”, u stupcu 5. tekst “(novi objekt 13,0 m)”, a u stupcu 6. novi redak sa tekstom “novi objekt 3 (P+2)”.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istom članku, stavak 1., alineja 18., briše se riječ “javne”. </w:t>
      </w:r>
    </w:p>
    <w:p w:rsidR="005D780F" w:rsidRDefault="005D780F" w:rsidP="005D780F">
      <w:pPr>
        <w:pStyle w:val="Default"/>
        <w:rPr>
          <w:sz w:val="22"/>
          <w:szCs w:val="20"/>
        </w:rPr>
      </w:pPr>
    </w:p>
    <w:p w:rsidR="005810A3" w:rsidRDefault="005810A3" w:rsidP="005D780F">
      <w:pPr>
        <w:pStyle w:val="Default"/>
        <w:rPr>
          <w:sz w:val="22"/>
          <w:szCs w:val="20"/>
        </w:rPr>
      </w:pPr>
    </w:p>
    <w:p w:rsidR="005810A3" w:rsidRPr="005D780F" w:rsidRDefault="005810A3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lastRenderedPageBreak/>
        <w:t>Članak 17.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94., stavak 3. (iza tablice), dodaju se novi stavci: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“Kod prenamjene postojeće ugostiteljsko-turističke građevine (Vila Marina) u višestambenu građevinu (M1-2) nije potrebno osigurati potreban broj parkirališno-garažnih mjesta na pripadajućoj građevnoj čestici, s obzirom da za to nema prostornih uvjeta.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Sukladno članku 125. Zakona o prostornom uređenju i gradnji, kod rekonstrukcije i/ili dogradnje postojećih ugostiteljsko-turističkih građevina (uz zadržavanje iste namjene – T1 ili kod promjene namjene iz T1 u TA) potrebni broj parkirališno-garažnih mjesta utvrđuje se u postupku izdavanja lokacijske dozvole i rješenja o uvjetima građenja prema lokalnim uvjetima.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>Iznimno, sukladno mišljenju Konzervatorskog odjela u Rijeci, kod rekonstrukcije postojeće ugostiteljsko-turističke građevine (Vila Atlanta – TA</w:t>
      </w:r>
      <w:r w:rsidRPr="005D780F">
        <w:rPr>
          <w:sz w:val="14"/>
          <w:szCs w:val="12"/>
        </w:rPr>
        <w:t>2A</w:t>
      </w:r>
      <w:r w:rsidRPr="005D780F">
        <w:rPr>
          <w:sz w:val="22"/>
          <w:szCs w:val="20"/>
        </w:rPr>
        <w:t xml:space="preserve">) nije potrebno osigurati potreban broj parkirališno-garažnih mjesta na pripadajućoj građevnoj čestici, s obzirom da bi se time narušio koncept prostorne organizacije vile unutar parcele koja je uređena kao parkovna površina. </w:t>
      </w:r>
    </w:p>
    <w:p w:rsidR="005D780F" w:rsidRPr="005D780F" w:rsidRDefault="005D780F" w:rsidP="005D780F">
      <w:pPr>
        <w:pStyle w:val="Default"/>
        <w:ind w:firstLine="708"/>
        <w:rPr>
          <w:sz w:val="20"/>
          <w:szCs w:val="19"/>
        </w:rPr>
      </w:pPr>
      <w:r w:rsidRPr="005D780F">
        <w:rPr>
          <w:sz w:val="20"/>
          <w:szCs w:val="19"/>
        </w:rPr>
        <w:t xml:space="preserve">Iznimno, sukladno članku 125. Zakona o prostornom uređenju i gradnji, kod rekonstrukcije i/ili dogradnje postojećih ugostiteljsko-turističkih građevina, uz zadržavanje iste namjene – T1 ili kod promjene namjene iz T1 u TA (Vila Danica, Vila Lauriana, Vile Belvedere i Vila Elsa – bez Vile Miramar) nije potrebno osigurati potreban broj parkirališno-garažnih mjesta na pripadajućoj građevnoj čestici, obzirom da za to nema prostornih uvjeta (velika postojeća izgrađenost parcela).”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Postojeći stavci 4., 5. i 6. postaju stavci 8., 9. i 10.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Dosadašnji stavak 7. se briše, a postojeći stavci 8., 9. i 10. postaju stavci 11., 12. i 13.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18.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101., stavak 3., briše se tekst “zaštitnih zelenih i javnih”.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19.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članku 106., stavak 4., briše se tekst “uključene su i ……………….a druga”, a umjesto njega dodaje riječ “te”, a iza riječi “Planom” dodaje se tekst “(oznaka T4)”.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20.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U podnaslovu 7. i 7.1. ispred članka 131. brišu se riječi “JAVNIH” i “Javne”.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21.</w:t>
      </w:r>
    </w:p>
    <w:p w:rsidR="005D780F" w:rsidRDefault="005D780F" w:rsidP="005D780F">
      <w:pPr>
        <w:ind w:firstLine="708"/>
        <w:rPr>
          <w:szCs w:val="20"/>
        </w:rPr>
      </w:pPr>
      <w:r w:rsidRPr="005D780F">
        <w:rPr>
          <w:szCs w:val="20"/>
        </w:rPr>
        <w:t>U članku 131. stavak 1., briše se riječ “javne”.</w:t>
      </w:r>
    </w:p>
    <w:p w:rsidR="005D780F" w:rsidRDefault="005D780F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Default="005810A3" w:rsidP="005D780F">
      <w:pPr>
        <w:ind w:firstLine="708"/>
        <w:rPr>
          <w:szCs w:val="20"/>
        </w:rPr>
      </w:pPr>
    </w:p>
    <w:p w:rsidR="005810A3" w:rsidRPr="005D780F" w:rsidRDefault="005810A3" w:rsidP="005D780F">
      <w:pPr>
        <w:ind w:firstLine="708"/>
        <w:rPr>
          <w:szCs w:val="20"/>
        </w:rPr>
      </w:pPr>
      <w:bookmarkStart w:id="0" w:name="_GoBack"/>
      <w:bookmarkEnd w:id="0"/>
    </w:p>
    <w:p w:rsidR="005D780F" w:rsidRPr="005D780F" w:rsidRDefault="005D780F" w:rsidP="005D780F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5D780F">
        <w:rPr>
          <w:b/>
          <w:bCs/>
          <w:szCs w:val="23"/>
        </w:rPr>
        <w:t xml:space="preserve">P R I J E L A Z N E </w:t>
      </w:r>
      <w:r w:rsidRPr="005D780F">
        <w:rPr>
          <w:b/>
          <w:bCs/>
          <w:szCs w:val="23"/>
        </w:rPr>
        <w:t xml:space="preserve"> </w:t>
      </w:r>
      <w:r w:rsidRPr="005D780F">
        <w:rPr>
          <w:b/>
          <w:bCs/>
          <w:szCs w:val="23"/>
        </w:rPr>
        <w:t xml:space="preserve">I </w:t>
      </w:r>
      <w:r w:rsidRPr="005D780F">
        <w:rPr>
          <w:b/>
          <w:bCs/>
          <w:szCs w:val="23"/>
        </w:rPr>
        <w:t xml:space="preserve"> </w:t>
      </w:r>
      <w:r w:rsidRPr="005D780F">
        <w:rPr>
          <w:b/>
          <w:bCs/>
          <w:szCs w:val="23"/>
        </w:rPr>
        <w:t xml:space="preserve">Z A V R Š N E </w:t>
      </w:r>
      <w:r w:rsidRPr="005D780F">
        <w:rPr>
          <w:b/>
          <w:bCs/>
          <w:szCs w:val="23"/>
        </w:rPr>
        <w:t xml:space="preserve"> </w:t>
      </w:r>
      <w:r w:rsidRPr="005D780F">
        <w:rPr>
          <w:b/>
          <w:bCs/>
          <w:szCs w:val="23"/>
        </w:rPr>
        <w:t xml:space="preserve">O D R E D B E </w:t>
      </w:r>
    </w:p>
    <w:p w:rsidR="005D780F" w:rsidRPr="005D780F" w:rsidRDefault="005D780F" w:rsidP="005D780F">
      <w:pPr>
        <w:pStyle w:val="Default"/>
        <w:ind w:left="1080"/>
        <w:rPr>
          <w:szCs w:val="23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22.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Druge izmjene i dopune Urbanističkog plana uređenja naselja Lovran (UPU 1) izrađene su u 6 (šest) izvornika ovjerenih pečatom Općinskog vijeća Općine Lovran i potpisom predsjednice Općinskog vijeća Općine Lovran.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Dva se izvornika čuvaju u pismohrani Općine Lovran, a po jedan izvornik zajedno s ovom Odlukom dostavlja se: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>-</w:t>
      </w:r>
      <w:r w:rsidRPr="005D780F">
        <w:rPr>
          <w:sz w:val="22"/>
          <w:szCs w:val="20"/>
        </w:rPr>
        <w:tab/>
      </w:r>
      <w:r w:rsidRPr="005D780F">
        <w:rPr>
          <w:sz w:val="22"/>
          <w:szCs w:val="20"/>
        </w:rPr>
        <w:t xml:space="preserve"> Ministarstvu graditeljstva i prostornog uređenja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>-</w:t>
      </w:r>
      <w:r w:rsidRPr="005D780F">
        <w:rPr>
          <w:sz w:val="22"/>
          <w:szCs w:val="20"/>
        </w:rPr>
        <w:tab/>
      </w:r>
      <w:r w:rsidRPr="005D780F">
        <w:rPr>
          <w:sz w:val="22"/>
          <w:szCs w:val="20"/>
        </w:rPr>
        <w:t xml:space="preserve"> Ministarstvu kulture, Upravi za zaštitu kulturne baštine, Konzervatorskom odjelu u Rijeci </w:t>
      </w:r>
    </w:p>
    <w:p w:rsidR="005D780F" w:rsidRPr="005D780F" w:rsidRDefault="005D780F" w:rsidP="005D780F">
      <w:pPr>
        <w:pStyle w:val="Default"/>
        <w:ind w:left="705" w:hanging="705"/>
        <w:rPr>
          <w:sz w:val="22"/>
          <w:szCs w:val="20"/>
        </w:rPr>
      </w:pPr>
      <w:r w:rsidRPr="005D780F">
        <w:rPr>
          <w:sz w:val="22"/>
          <w:szCs w:val="20"/>
        </w:rPr>
        <w:t xml:space="preserve">- </w:t>
      </w:r>
      <w:r w:rsidRPr="005D780F">
        <w:rPr>
          <w:sz w:val="22"/>
          <w:szCs w:val="20"/>
        </w:rPr>
        <w:tab/>
      </w:r>
      <w:r w:rsidRPr="005D780F">
        <w:rPr>
          <w:sz w:val="22"/>
          <w:szCs w:val="20"/>
        </w:rPr>
        <w:t xml:space="preserve">Primorsko - goranskoj županiji, Upravnom odjelu za graditeljstvo i zaštitu okoliša, Ispostava </w:t>
      </w:r>
      <w:r w:rsidRPr="005D780F">
        <w:rPr>
          <w:sz w:val="22"/>
          <w:szCs w:val="20"/>
        </w:rPr>
        <w:t xml:space="preserve">        </w:t>
      </w:r>
      <w:r w:rsidRPr="005D780F">
        <w:rPr>
          <w:sz w:val="22"/>
          <w:szCs w:val="20"/>
        </w:rPr>
        <w:t xml:space="preserve">Opatija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>-</w:t>
      </w:r>
      <w:r w:rsidRPr="005D780F">
        <w:rPr>
          <w:sz w:val="22"/>
          <w:szCs w:val="20"/>
        </w:rPr>
        <w:tab/>
      </w:r>
      <w:r w:rsidRPr="005D780F">
        <w:rPr>
          <w:sz w:val="22"/>
          <w:szCs w:val="20"/>
        </w:rPr>
        <w:t xml:space="preserve"> Javnoj ustanovi Zavodu za prostorno uređenje Primorsko - goranske županije.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Članak 23.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  <w:r w:rsidRPr="005D780F">
        <w:rPr>
          <w:sz w:val="22"/>
          <w:szCs w:val="20"/>
        </w:rPr>
        <w:t xml:space="preserve">Ova odluka stupa na snagu osmog dana nakon objave u “Službenim novinama Primorsko - goranske županije”. </w:t>
      </w: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5D780F" w:rsidRPr="005D780F" w:rsidRDefault="005D780F" w:rsidP="005D780F">
      <w:pPr>
        <w:pStyle w:val="Default"/>
        <w:ind w:firstLine="708"/>
        <w:rPr>
          <w:sz w:val="22"/>
          <w:szCs w:val="20"/>
        </w:rPr>
      </w:pPr>
    </w:p>
    <w:p w:rsidR="005D780F" w:rsidRPr="005D780F" w:rsidRDefault="005D780F" w:rsidP="005D780F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 xml:space="preserve">Klasa: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 xml:space="preserve">Ur. broj: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  <w:r w:rsidRPr="005D780F">
        <w:rPr>
          <w:sz w:val="22"/>
          <w:szCs w:val="20"/>
        </w:rPr>
        <w:t xml:space="preserve">Lovran, 2012. </w:t>
      </w: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rPr>
          <w:sz w:val="22"/>
          <w:szCs w:val="20"/>
        </w:rPr>
      </w:pPr>
    </w:p>
    <w:p w:rsidR="005D780F" w:rsidRPr="005D780F" w:rsidRDefault="005D780F" w:rsidP="005D780F">
      <w:pPr>
        <w:pStyle w:val="Default"/>
        <w:jc w:val="center"/>
        <w:rPr>
          <w:sz w:val="22"/>
          <w:szCs w:val="20"/>
        </w:rPr>
      </w:pPr>
      <w:r w:rsidRPr="005D780F">
        <w:rPr>
          <w:sz w:val="22"/>
          <w:szCs w:val="20"/>
        </w:rPr>
        <w:t>OPĆINSKO VIJEĆE OPĆINE LOVRAN</w:t>
      </w:r>
    </w:p>
    <w:p w:rsidR="005D780F" w:rsidRPr="005D780F" w:rsidRDefault="005D780F" w:rsidP="005D780F">
      <w:pPr>
        <w:jc w:val="center"/>
        <w:rPr>
          <w:szCs w:val="20"/>
        </w:rPr>
      </w:pPr>
      <w:r w:rsidRPr="005D780F">
        <w:rPr>
          <w:szCs w:val="20"/>
        </w:rPr>
        <w:t xml:space="preserve">Predsjednica </w:t>
      </w:r>
    </w:p>
    <w:p w:rsidR="005D780F" w:rsidRPr="005D780F" w:rsidRDefault="005D780F" w:rsidP="005D780F">
      <w:pPr>
        <w:jc w:val="center"/>
        <w:rPr>
          <w:sz w:val="24"/>
        </w:rPr>
      </w:pPr>
      <w:r w:rsidRPr="005D780F">
        <w:rPr>
          <w:szCs w:val="20"/>
        </w:rPr>
        <w:t>Đurđica Tancabel, v.r.</w:t>
      </w:r>
    </w:p>
    <w:sectPr w:rsidR="005D780F" w:rsidRPr="005D780F" w:rsidSect="005D780F">
      <w:headerReference w:type="default" r:id="rId9"/>
      <w:footerReference w:type="default" r:id="rId10"/>
      <w:pgSz w:w="11906" w:h="16838"/>
      <w:pgMar w:top="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62" w:rsidRDefault="00323362" w:rsidP="00984557">
      <w:pPr>
        <w:spacing w:after="0" w:line="240" w:lineRule="auto"/>
      </w:pPr>
      <w:r>
        <w:separator/>
      </w:r>
    </w:p>
  </w:endnote>
  <w:endnote w:type="continuationSeparator" w:id="0">
    <w:p w:rsidR="00323362" w:rsidRDefault="00323362" w:rsidP="00984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557" w:rsidRDefault="00984557">
    <w:pPr>
      <w:pStyle w:val="Footer"/>
      <w:pBdr>
        <w:top w:val="single" w:sz="4" w:space="1" w:color="A5A5A5" w:themeColor="background1" w:themeShade="A5"/>
      </w:pBdr>
      <w:rPr>
        <w:color w:val="808080" w:themeColor="background1" w:themeShade="80"/>
      </w:rPr>
    </w:pPr>
    <w:sdt>
      <w:sdtPr>
        <w:rPr>
          <w:rFonts w:ascii="Tahoma" w:hAnsi="Tahoma" w:cs="Tahoma"/>
          <w:b/>
          <w:bCs/>
          <w:color w:val="000000"/>
          <w:sz w:val="18"/>
          <w:szCs w:val="18"/>
        </w:rPr>
        <w:alias w:val="Company"/>
        <w:id w:val="125983034"/>
        <w:placeholder>
          <w:docPart w:val="FFCF863949C543A3833DEF6313E3A19D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984557">
          <w:rPr>
            <w:rFonts w:ascii="Tahoma" w:hAnsi="Tahoma" w:cs="Tahoma"/>
            <w:b/>
            <w:bCs/>
            <w:color w:val="000000"/>
            <w:sz w:val="18"/>
            <w:szCs w:val="18"/>
          </w:rPr>
          <w:t>CPA d.o.o. Zagreb, Odranska 2</w:t>
        </w:r>
      </w:sdtContent>
    </w:sdt>
    <w:r>
      <w:rPr>
        <w:color w:val="808080" w:themeColor="background1" w:themeShade="80"/>
      </w:rPr>
      <w:t xml:space="preserve"> | </w:t>
    </w:r>
  </w:p>
  <w:p w:rsidR="00984557" w:rsidRDefault="009845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62" w:rsidRDefault="00323362" w:rsidP="00984557">
      <w:pPr>
        <w:spacing w:after="0" w:line="240" w:lineRule="auto"/>
      </w:pPr>
      <w:r>
        <w:separator/>
      </w:r>
    </w:p>
  </w:footnote>
  <w:footnote w:type="continuationSeparator" w:id="0">
    <w:p w:rsidR="00323362" w:rsidRDefault="00323362" w:rsidP="00984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color w:val="000000"/>
        <w:sz w:val="18"/>
        <w:szCs w:val="18"/>
      </w:rPr>
      <w:alias w:val="Title"/>
      <w:id w:val="480424748"/>
      <w:placeholder>
        <w:docPart w:val="01261BEAD6974185B6AB5798552B775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4557" w:rsidRDefault="00984557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 w:rsidRPr="00984557">
          <w:rPr>
            <w:rFonts w:ascii="Tahoma" w:hAnsi="Tahoma" w:cs="Tahoma"/>
            <w:color w:val="000000"/>
            <w:sz w:val="18"/>
            <w:szCs w:val="18"/>
          </w:rPr>
          <w:t>Druge izmjene i dopune Urbanističkog plana uređenja naselja Lovran (UPU 1)</w:t>
        </w:r>
      </w:p>
    </w:sdtContent>
  </w:sdt>
  <w:p w:rsidR="005D780F" w:rsidRPr="005D780F" w:rsidRDefault="005D780F" w:rsidP="005D780F">
    <w:pPr>
      <w:pStyle w:val="Default"/>
      <w:jc w:val="center"/>
      <w:rPr>
        <w:b/>
        <w:bCs/>
        <w:sz w:val="20"/>
        <w:szCs w:val="18"/>
      </w:rPr>
    </w:pPr>
    <w:r w:rsidRPr="005D780F">
      <w:rPr>
        <w:b/>
        <w:bCs/>
        <w:sz w:val="20"/>
        <w:szCs w:val="18"/>
      </w:rPr>
      <w:t>OBVEZNI PRILOZI</w:t>
    </w:r>
  </w:p>
  <w:p w:rsidR="00984557" w:rsidRDefault="00984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0F6F"/>
    <w:multiLevelType w:val="hybridMultilevel"/>
    <w:tmpl w:val="62AE10B4"/>
    <w:lvl w:ilvl="0" w:tplc="65F4D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57"/>
    <w:rsid w:val="00323362"/>
    <w:rsid w:val="005810A3"/>
    <w:rsid w:val="005D780F"/>
    <w:rsid w:val="00984557"/>
    <w:rsid w:val="00F6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57"/>
  </w:style>
  <w:style w:type="paragraph" w:styleId="Footer">
    <w:name w:val="footer"/>
    <w:basedOn w:val="Normal"/>
    <w:link w:val="FooterChar"/>
    <w:uiPriority w:val="99"/>
    <w:unhideWhenUsed/>
    <w:rsid w:val="00984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57"/>
  </w:style>
  <w:style w:type="paragraph" w:styleId="BalloonText">
    <w:name w:val="Balloon Text"/>
    <w:basedOn w:val="Normal"/>
    <w:link w:val="BalloonTextChar"/>
    <w:uiPriority w:val="99"/>
    <w:semiHidden/>
    <w:unhideWhenUsed/>
    <w:rsid w:val="009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557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"/>
    <w:qFormat/>
    <w:rsid w:val="00984557"/>
    <w:pPr>
      <w:pBdr>
        <w:top w:val="single" w:sz="4" w:space="1" w:color="4F81BD" w:themeColor="accent1"/>
      </w:pBdr>
      <w:spacing w:after="180" w:line="264" w:lineRule="auto"/>
    </w:pPr>
    <w:rPr>
      <w:rFonts w:cs="Times New Roman"/>
      <w:color w:val="1F497D" w:themeColor="text2"/>
      <w:sz w:val="20"/>
      <w:szCs w:val="20"/>
      <w:lang w:val="en-US" w:eastAsia="ja-JP"/>
    </w:rPr>
  </w:style>
  <w:style w:type="paragraph" w:customStyle="1" w:styleId="Default">
    <w:name w:val="Default"/>
    <w:rsid w:val="0098455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57"/>
  </w:style>
  <w:style w:type="paragraph" w:styleId="Footer">
    <w:name w:val="footer"/>
    <w:basedOn w:val="Normal"/>
    <w:link w:val="FooterChar"/>
    <w:uiPriority w:val="99"/>
    <w:unhideWhenUsed/>
    <w:rsid w:val="00984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57"/>
  </w:style>
  <w:style w:type="paragraph" w:styleId="BalloonText">
    <w:name w:val="Balloon Text"/>
    <w:basedOn w:val="Normal"/>
    <w:link w:val="BalloonTextChar"/>
    <w:uiPriority w:val="99"/>
    <w:semiHidden/>
    <w:unhideWhenUsed/>
    <w:rsid w:val="009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557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"/>
    <w:qFormat/>
    <w:rsid w:val="00984557"/>
    <w:pPr>
      <w:pBdr>
        <w:top w:val="single" w:sz="4" w:space="1" w:color="4F81BD" w:themeColor="accent1"/>
      </w:pBdr>
      <w:spacing w:after="180" w:line="264" w:lineRule="auto"/>
    </w:pPr>
    <w:rPr>
      <w:rFonts w:cs="Times New Roman"/>
      <w:color w:val="1F497D" w:themeColor="text2"/>
      <w:sz w:val="20"/>
      <w:szCs w:val="20"/>
      <w:lang w:val="en-US" w:eastAsia="ja-JP"/>
    </w:rPr>
  </w:style>
  <w:style w:type="paragraph" w:customStyle="1" w:styleId="Default">
    <w:name w:val="Default"/>
    <w:rsid w:val="0098455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261BEAD6974185B6AB5798552B7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51B9D-F91C-48AB-8013-0B62C4F00153}"/>
      </w:docPartPr>
      <w:docPartBody>
        <w:p w:rsidR="00000000" w:rsidRDefault="004B03F2" w:rsidP="004B03F2">
          <w:pPr>
            <w:pStyle w:val="01261BEAD6974185B6AB5798552B775A"/>
          </w:pPr>
          <w:r>
            <w:t>[Type the document title]</w:t>
          </w:r>
        </w:p>
      </w:docPartBody>
    </w:docPart>
    <w:docPart>
      <w:docPartPr>
        <w:name w:val="FFCF863949C543A3833DEF6313E3A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543AB-285A-4834-8943-A36CA254D8B5}"/>
      </w:docPartPr>
      <w:docPartBody>
        <w:p w:rsidR="00000000" w:rsidRDefault="004B03F2" w:rsidP="004B03F2">
          <w:pPr>
            <w:pStyle w:val="FFCF863949C543A3833DEF6313E3A19D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F2"/>
    <w:rsid w:val="004B03F2"/>
    <w:rsid w:val="00F6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261BEAD6974185B6AB5798552B775A">
    <w:name w:val="01261BEAD6974185B6AB5798552B775A"/>
    <w:rsid w:val="004B03F2"/>
  </w:style>
  <w:style w:type="paragraph" w:customStyle="1" w:styleId="AAA8FDF3FF5145D8A13BF64C48E74C5E">
    <w:name w:val="AAA8FDF3FF5145D8A13BF64C48E74C5E"/>
    <w:rsid w:val="004B03F2"/>
  </w:style>
  <w:style w:type="paragraph" w:customStyle="1" w:styleId="654CDDD073FF40EC83E74F540B049EE1">
    <w:name w:val="654CDDD073FF40EC83E74F540B049EE1"/>
    <w:rsid w:val="004B03F2"/>
  </w:style>
  <w:style w:type="paragraph" w:customStyle="1" w:styleId="FFCF863949C543A3833DEF6313E3A19D">
    <w:name w:val="FFCF863949C543A3833DEF6313E3A19D"/>
    <w:rsid w:val="004B03F2"/>
  </w:style>
  <w:style w:type="paragraph" w:customStyle="1" w:styleId="95A5EF51FDF247CE84B3683AFDB71ED6">
    <w:name w:val="95A5EF51FDF247CE84B3683AFDB71ED6"/>
    <w:rsid w:val="004B03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261BEAD6974185B6AB5798552B775A">
    <w:name w:val="01261BEAD6974185B6AB5798552B775A"/>
    <w:rsid w:val="004B03F2"/>
  </w:style>
  <w:style w:type="paragraph" w:customStyle="1" w:styleId="AAA8FDF3FF5145D8A13BF64C48E74C5E">
    <w:name w:val="AAA8FDF3FF5145D8A13BF64C48E74C5E"/>
    <w:rsid w:val="004B03F2"/>
  </w:style>
  <w:style w:type="paragraph" w:customStyle="1" w:styleId="654CDDD073FF40EC83E74F540B049EE1">
    <w:name w:val="654CDDD073FF40EC83E74F540B049EE1"/>
    <w:rsid w:val="004B03F2"/>
  </w:style>
  <w:style w:type="paragraph" w:customStyle="1" w:styleId="FFCF863949C543A3833DEF6313E3A19D">
    <w:name w:val="FFCF863949C543A3833DEF6313E3A19D"/>
    <w:rsid w:val="004B03F2"/>
  </w:style>
  <w:style w:type="paragraph" w:customStyle="1" w:styleId="95A5EF51FDF247CE84B3683AFDB71ED6">
    <w:name w:val="95A5EF51FDF247CE84B3683AFDB71ED6"/>
    <w:rsid w:val="004B03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Odredbe za provođenje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CPA d.o.o. Zagreb, Odranska 2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Druge izmjene i dopune Urbanističkog plana uređenja naselja Lovran (UPU 1)</dc:title>
  <dc:creator>Hermes</dc:creator>
  <cp:lastModifiedBy>Hermes</cp:lastModifiedBy>
  <cp:revision>1</cp:revision>
  <dcterms:created xsi:type="dcterms:W3CDTF">2012-06-29T10:55:00Z</dcterms:created>
  <dcterms:modified xsi:type="dcterms:W3CDTF">2012-06-29T11:17:00Z</dcterms:modified>
</cp:coreProperties>
</file>