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C6D" w:rsidRPr="006E6F3C" w:rsidRDefault="00C30C6D" w:rsidP="00C30C6D">
      <w:pPr>
        <w:pStyle w:val="Default"/>
        <w:rPr>
          <w:szCs w:val="20"/>
        </w:rPr>
      </w:pPr>
      <w:r w:rsidRPr="006E6F3C">
        <w:rPr>
          <w:szCs w:val="20"/>
        </w:rPr>
        <w:t xml:space="preserve">Na temelju članka 100. stavak (7) Zakona o prostornom uređenju i gradnji („Narodne novine” broj 76/07, 38/09, 55/11, 90/11 i 50/12) te članka 31. Statuta Općine Lovran (“Službene novine“ Primorsko-goranske županije br. 30/09), Općinsko vijeće Općine Lovran na __. sjednici održanoj __.___________ 2012. godine, donijelo je </w:t>
      </w:r>
    </w:p>
    <w:p w:rsidR="00934D65" w:rsidRPr="004E1889" w:rsidRDefault="00934D65" w:rsidP="00C30C6D">
      <w:pPr>
        <w:pStyle w:val="Default"/>
        <w:rPr>
          <w:sz w:val="22"/>
          <w:szCs w:val="20"/>
        </w:rPr>
      </w:pPr>
    </w:p>
    <w:p w:rsidR="00C30C6D" w:rsidRPr="004E1889" w:rsidRDefault="00C30C6D" w:rsidP="00934D65">
      <w:pPr>
        <w:pStyle w:val="Default"/>
        <w:jc w:val="center"/>
        <w:rPr>
          <w:szCs w:val="22"/>
        </w:rPr>
      </w:pPr>
      <w:r w:rsidRPr="004E1889">
        <w:rPr>
          <w:b/>
          <w:bCs/>
          <w:szCs w:val="22"/>
        </w:rPr>
        <w:t>ODLUKU</w:t>
      </w:r>
    </w:p>
    <w:p w:rsidR="00C30C6D" w:rsidRPr="004E1889" w:rsidRDefault="00C30C6D" w:rsidP="00934D65">
      <w:pPr>
        <w:pStyle w:val="Default"/>
        <w:jc w:val="center"/>
        <w:rPr>
          <w:szCs w:val="22"/>
        </w:rPr>
      </w:pPr>
      <w:r w:rsidRPr="004E1889">
        <w:rPr>
          <w:b/>
          <w:bCs/>
          <w:szCs w:val="22"/>
        </w:rPr>
        <w:t>o izmjenama i dopunama</w:t>
      </w:r>
    </w:p>
    <w:p w:rsidR="00C30C6D" w:rsidRPr="004E1889" w:rsidRDefault="00C30C6D" w:rsidP="00934D65">
      <w:pPr>
        <w:pStyle w:val="Default"/>
        <w:jc w:val="center"/>
        <w:rPr>
          <w:b/>
          <w:bCs/>
          <w:szCs w:val="22"/>
        </w:rPr>
      </w:pPr>
      <w:r w:rsidRPr="004E1889">
        <w:rPr>
          <w:b/>
          <w:bCs/>
          <w:szCs w:val="22"/>
        </w:rPr>
        <w:t>Odluke o donošenju Urbanističkog plana uređenja naselja Medveja</w:t>
      </w:r>
    </w:p>
    <w:p w:rsidR="00934D65" w:rsidRPr="004E1889" w:rsidRDefault="00934D65" w:rsidP="00934D65">
      <w:pPr>
        <w:pStyle w:val="Default"/>
        <w:jc w:val="center"/>
        <w:rPr>
          <w:szCs w:val="22"/>
        </w:rPr>
      </w:pPr>
    </w:p>
    <w:p w:rsidR="00C30C6D" w:rsidRPr="004E1889" w:rsidRDefault="00C30C6D" w:rsidP="00934D65">
      <w:pPr>
        <w:pStyle w:val="Default"/>
        <w:numPr>
          <w:ilvl w:val="0"/>
          <w:numId w:val="1"/>
        </w:numPr>
        <w:rPr>
          <w:b/>
          <w:bCs/>
          <w:szCs w:val="23"/>
        </w:rPr>
      </w:pPr>
      <w:r w:rsidRPr="004E1889">
        <w:rPr>
          <w:b/>
          <w:bCs/>
          <w:szCs w:val="23"/>
        </w:rPr>
        <w:t xml:space="preserve">T E M E L J N E O D R E D B E </w:t>
      </w:r>
    </w:p>
    <w:p w:rsidR="00934D65" w:rsidRPr="004E1889" w:rsidRDefault="00934D65" w:rsidP="006E6F3C">
      <w:pPr>
        <w:pStyle w:val="Default"/>
        <w:ind w:left="1080"/>
        <w:rPr>
          <w:szCs w:val="23"/>
        </w:rPr>
      </w:pPr>
    </w:p>
    <w:p w:rsidR="00C30C6D" w:rsidRPr="004E1889" w:rsidRDefault="00C30C6D" w:rsidP="00934D65">
      <w:pPr>
        <w:pStyle w:val="Default"/>
        <w:jc w:val="center"/>
        <w:rPr>
          <w:sz w:val="22"/>
          <w:szCs w:val="20"/>
        </w:rPr>
      </w:pPr>
      <w:r w:rsidRPr="004E1889">
        <w:rPr>
          <w:sz w:val="22"/>
          <w:szCs w:val="20"/>
        </w:rPr>
        <w:t>Članak 1.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U članku 1. dodaje se stavak (2): 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“(2) Donose se Prve izmjene i dopune Urbanističkog plana uređenja naselja Medveja, što ga je izradila tvrtka Centar za prostorno uređenje i arhitekturu d.o.o. iz Zagreba.” 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Postojeći stavci (2) i (3) postaju stavci (3) i (4). 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U istom članku, stavak (3), umjesto riječi “plaže” dodaje se tekst “posebne plaže s mogućnošću ograđivanja”. </w:t>
      </w:r>
    </w:p>
    <w:p w:rsidR="00934D65" w:rsidRPr="004E1889" w:rsidRDefault="00934D65" w:rsidP="00934D65">
      <w:pPr>
        <w:pStyle w:val="Default"/>
        <w:ind w:firstLine="708"/>
        <w:rPr>
          <w:sz w:val="22"/>
          <w:szCs w:val="20"/>
        </w:rPr>
      </w:pPr>
    </w:p>
    <w:p w:rsidR="00C30C6D" w:rsidRPr="004E1889" w:rsidRDefault="00C30C6D" w:rsidP="00934D65">
      <w:pPr>
        <w:pStyle w:val="Default"/>
        <w:jc w:val="center"/>
        <w:rPr>
          <w:sz w:val="22"/>
          <w:szCs w:val="20"/>
        </w:rPr>
      </w:pPr>
      <w:r w:rsidRPr="004E1889">
        <w:rPr>
          <w:sz w:val="22"/>
          <w:szCs w:val="20"/>
        </w:rPr>
        <w:t>Članak 2.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U članku (2) dodaje se novi stavak (2): 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“(2) Prve izmjene i dopune Plana sadržane su u elaboratu “Prve izmjene i dopune Urbanističkog plana uređenja naselja Medveja”, koji se sastoji od: 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A. TEKSTUALNOG DIJELA koji sadrži: </w:t>
      </w:r>
    </w:p>
    <w:p w:rsidR="00C30C6D" w:rsidRPr="004E1889" w:rsidRDefault="00C30C6D" w:rsidP="00934D65">
      <w:pPr>
        <w:pStyle w:val="Default"/>
        <w:ind w:left="708"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Odredbe za provođenje 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B. GRAFIČKOG DIJELA koji sadrži kartografske prikaze u mj. 1 : 2.000: </w:t>
      </w:r>
    </w:p>
    <w:p w:rsidR="00C30C6D" w:rsidRPr="004E1889" w:rsidRDefault="00C30C6D" w:rsidP="00934D65">
      <w:pPr>
        <w:pStyle w:val="Default"/>
        <w:ind w:left="708"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1. Korištenje i namjena površina (izmjene i dopune) </w:t>
      </w:r>
    </w:p>
    <w:p w:rsidR="00C30C6D" w:rsidRPr="004E1889" w:rsidRDefault="00C30C6D" w:rsidP="00934D65">
      <w:pPr>
        <w:pStyle w:val="Default"/>
        <w:ind w:left="708"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2. Prometna, ulična, i komunalna infrastrukturna mreža </w:t>
      </w:r>
    </w:p>
    <w:p w:rsidR="00C30C6D" w:rsidRPr="004E1889" w:rsidRDefault="00C30C6D" w:rsidP="00934D65">
      <w:pPr>
        <w:pStyle w:val="Default"/>
        <w:ind w:left="708"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2.1. Prometni sustav i telekomunikacije (izmjene i dopune) </w:t>
      </w:r>
    </w:p>
    <w:p w:rsidR="00C30C6D" w:rsidRPr="004E1889" w:rsidRDefault="00C30C6D" w:rsidP="00934D65">
      <w:pPr>
        <w:pStyle w:val="Default"/>
        <w:ind w:left="708"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2.2. Elektroopskrba i plinoopskrba (izmjene i dopune) </w:t>
      </w:r>
    </w:p>
    <w:p w:rsidR="00C30C6D" w:rsidRPr="004E1889" w:rsidRDefault="00C30C6D" w:rsidP="00934D65">
      <w:pPr>
        <w:pStyle w:val="Default"/>
        <w:ind w:left="708"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4. Uvjeti građenja (izmjene i dopune) 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C. OBVEZNIH PRILOGA. 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Jedan elaborat koji čini tekstualni i grafički dio Plana iz stavka 2. ovog članka, ovjeren pečatom Općinskog vijeća Općine Lovran i potpisom predsjednika Općinskog vijeća Općine Lovran pohranjen je u pismohrani Općine Lovran i sastavni je dio ove Odluke.” </w:t>
      </w:r>
    </w:p>
    <w:p w:rsidR="00934D65" w:rsidRPr="004E1889" w:rsidRDefault="00934D65" w:rsidP="00934D65">
      <w:pPr>
        <w:pStyle w:val="Default"/>
        <w:ind w:firstLine="708"/>
        <w:rPr>
          <w:sz w:val="22"/>
          <w:szCs w:val="20"/>
        </w:rPr>
      </w:pPr>
    </w:p>
    <w:p w:rsidR="00C30C6D" w:rsidRPr="004E1889" w:rsidRDefault="00C30C6D" w:rsidP="00934D65">
      <w:pPr>
        <w:pStyle w:val="Default"/>
        <w:numPr>
          <w:ilvl w:val="0"/>
          <w:numId w:val="1"/>
        </w:numPr>
        <w:rPr>
          <w:b/>
          <w:bCs/>
          <w:szCs w:val="23"/>
        </w:rPr>
      </w:pPr>
      <w:r w:rsidRPr="004E1889">
        <w:rPr>
          <w:b/>
          <w:bCs/>
          <w:szCs w:val="23"/>
        </w:rPr>
        <w:t xml:space="preserve">O D R E D B E </w:t>
      </w:r>
      <w:r w:rsidR="006E6F3C">
        <w:rPr>
          <w:b/>
          <w:bCs/>
          <w:szCs w:val="23"/>
        </w:rPr>
        <w:t xml:space="preserve"> </w:t>
      </w:r>
      <w:r w:rsidRPr="004E1889">
        <w:rPr>
          <w:b/>
          <w:bCs/>
          <w:szCs w:val="23"/>
        </w:rPr>
        <w:t xml:space="preserve">Z A </w:t>
      </w:r>
      <w:r w:rsidR="006E6F3C">
        <w:rPr>
          <w:b/>
          <w:bCs/>
          <w:szCs w:val="23"/>
        </w:rPr>
        <w:t xml:space="preserve"> </w:t>
      </w:r>
      <w:r w:rsidRPr="004E1889">
        <w:rPr>
          <w:b/>
          <w:bCs/>
          <w:szCs w:val="23"/>
        </w:rPr>
        <w:t xml:space="preserve">P R O V O Đ E N J E </w:t>
      </w:r>
    </w:p>
    <w:p w:rsidR="00934D65" w:rsidRPr="004E1889" w:rsidRDefault="00934D65" w:rsidP="00934D65">
      <w:pPr>
        <w:pStyle w:val="Default"/>
        <w:ind w:left="1080"/>
        <w:rPr>
          <w:szCs w:val="23"/>
        </w:rPr>
      </w:pPr>
    </w:p>
    <w:p w:rsidR="00C30C6D" w:rsidRPr="004E1889" w:rsidRDefault="00C30C6D" w:rsidP="00934D65">
      <w:pPr>
        <w:pStyle w:val="Default"/>
        <w:jc w:val="center"/>
        <w:rPr>
          <w:sz w:val="22"/>
          <w:szCs w:val="20"/>
        </w:rPr>
      </w:pPr>
      <w:r w:rsidRPr="004E1889">
        <w:rPr>
          <w:sz w:val="22"/>
          <w:szCs w:val="20"/>
        </w:rPr>
        <w:t>Članak 3.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Članak 16. stavak (5) mijenja se i glasi: </w:t>
      </w:r>
    </w:p>
    <w:p w:rsidR="00C30C6D" w:rsidRPr="004E1889" w:rsidRDefault="00C30C6D" w:rsidP="00934D65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“(5) Uvjeti gradnje građevina ugostiteljsko-turističke namjene u zonama 1 i 2a su: 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izgradnja mora zadovoljiti slijedeće najviše kapacitete: </w:t>
      </w:r>
    </w:p>
    <w:p w:rsidR="00C30C6D" w:rsidRPr="004E1889" w:rsidRDefault="00C30C6D" w:rsidP="00934D65">
      <w:pPr>
        <w:pStyle w:val="Default"/>
        <w:ind w:left="708"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zona 2a </w:t>
      </w:r>
      <w:r w:rsidR="00934D65"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- 1.100 kreveta u 360 smještajnih jedinica </w:t>
      </w:r>
    </w:p>
    <w:p w:rsidR="00C30C6D" w:rsidRPr="004E1889" w:rsidRDefault="00C30C6D" w:rsidP="00934D65">
      <w:pPr>
        <w:pStyle w:val="Default"/>
        <w:ind w:left="2832"/>
        <w:rPr>
          <w:sz w:val="22"/>
          <w:szCs w:val="20"/>
        </w:rPr>
      </w:pPr>
      <w:r w:rsidRPr="004E1889">
        <w:rPr>
          <w:sz w:val="22"/>
          <w:szCs w:val="20"/>
        </w:rPr>
        <w:t xml:space="preserve">(185 parcela u kampu, 115 smještajnih jedinica u mobile home i 60 smještajnih jedinica u bungalovima i Vili Medvejica) </w:t>
      </w:r>
    </w:p>
    <w:p w:rsidR="00C30C6D" w:rsidRPr="004E1889" w:rsidRDefault="00C30C6D" w:rsidP="00934D65">
      <w:pPr>
        <w:pStyle w:val="Default"/>
        <w:ind w:left="708"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zona 1 </w:t>
      </w:r>
      <w:r w:rsidR="00934D65"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dva obiteljska hotela sa ukupno 160 kreveta </w:t>
      </w:r>
    </w:p>
    <w:p w:rsidR="00C30C6D" w:rsidRPr="004E1889" w:rsidRDefault="00C30C6D" w:rsidP="00934D65">
      <w:pPr>
        <w:pStyle w:val="Default"/>
        <w:ind w:left="2124"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- 150 kreveta u privatnom smještaju 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najmanja površina građevne čestice: </w:t>
      </w:r>
    </w:p>
    <w:p w:rsidR="00C30C6D" w:rsidRPr="004E1889" w:rsidRDefault="00C30C6D" w:rsidP="00934D65">
      <w:pPr>
        <w:pStyle w:val="Default"/>
        <w:ind w:left="708" w:firstLine="708"/>
        <w:rPr>
          <w:sz w:val="15"/>
          <w:szCs w:val="13"/>
        </w:rPr>
      </w:pPr>
      <w:r w:rsidRPr="004E1889">
        <w:rPr>
          <w:sz w:val="22"/>
          <w:szCs w:val="20"/>
        </w:rPr>
        <w:t>- za zone kampa (2a1, 2a2, 2a3, 2a4 i 2a5) iznosi 1.000 m</w:t>
      </w:r>
      <w:r w:rsidRPr="004E1889">
        <w:rPr>
          <w:sz w:val="15"/>
          <w:szCs w:val="13"/>
        </w:rPr>
        <w:t xml:space="preserve">2 </w:t>
      </w:r>
    </w:p>
    <w:p w:rsidR="00C30C6D" w:rsidRPr="004E1889" w:rsidRDefault="00C30C6D" w:rsidP="00934D65">
      <w:pPr>
        <w:pStyle w:val="Default"/>
        <w:ind w:left="708" w:firstLine="708"/>
        <w:rPr>
          <w:sz w:val="15"/>
          <w:szCs w:val="13"/>
        </w:rPr>
      </w:pPr>
      <w:r w:rsidRPr="004E1889">
        <w:rPr>
          <w:sz w:val="22"/>
          <w:szCs w:val="20"/>
        </w:rPr>
        <w:t>- za obiteljske hotele iznosi 800 m</w:t>
      </w:r>
      <w:r w:rsidRPr="004E1889">
        <w:rPr>
          <w:sz w:val="15"/>
          <w:szCs w:val="13"/>
        </w:rPr>
        <w:t xml:space="preserve">2 </w:t>
      </w:r>
    </w:p>
    <w:p w:rsidR="00C30C6D" w:rsidRPr="004E1889" w:rsidRDefault="00C30C6D" w:rsidP="00934D65">
      <w:pPr>
        <w:pStyle w:val="Default"/>
        <w:ind w:left="708" w:firstLine="708"/>
        <w:rPr>
          <w:sz w:val="15"/>
          <w:szCs w:val="13"/>
        </w:rPr>
      </w:pPr>
      <w:r w:rsidRPr="004E1889">
        <w:rPr>
          <w:sz w:val="22"/>
          <w:szCs w:val="20"/>
        </w:rPr>
        <w:lastRenderedPageBreak/>
        <w:t>- za manje turističko-ugostiteljske građevine iznosi 500 m</w:t>
      </w:r>
      <w:r w:rsidRPr="004E1889">
        <w:rPr>
          <w:sz w:val="15"/>
          <w:szCs w:val="13"/>
        </w:rPr>
        <w:t xml:space="preserve">2 </w:t>
      </w:r>
    </w:p>
    <w:p w:rsidR="00C30C6D" w:rsidRPr="004E1889" w:rsidRDefault="00C30C6D" w:rsidP="00934D65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>- koeficijent izgrađenosti (K</w:t>
      </w:r>
      <w:r w:rsidRPr="004E1889">
        <w:rPr>
          <w:sz w:val="15"/>
          <w:szCs w:val="13"/>
        </w:rPr>
        <w:t>ig</w:t>
      </w:r>
      <w:r w:rsidRPr="004E1889">
        <w:rPr>
          <w:sz w:val="22"/>
          <w:szCs w:val="20"/>
        </w:rPr>
        <w:t xml:space="preserve">) građevne čestice iznosi: </w:t>
      </w:r>
    </w:p>
    <w:p w:rsidR="00C30C6D" w:rsidRPr="004E1889" w:rsidRDefault="00C30C6D" w:rsidP="00934D65">
      <w:pPr>
        <w:pStyle w:val="Default"/>
        <w:ind w:left="708"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zona 1 </w:t>
      </w:r>
      <w:r w:rsidR="00934D65"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najviše 0,25 </w:t>
      </w:r>
    </w:p>
    <w:p w:rsidR="00C30C6D" w:rsidRPr="004E1889" w:rsidRDefault="00C30C6D" w:rsidP="00934D65">
      <w:pPr>
        <w:pStyle w:val="Default"/>
        <w:ind w:left="708"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zona 2a1 </w:t>
      </w:r>
      <w:r w:rsidR="00934D65"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najviše 0,30 </w:t>
      </w:r>
    </w:p>
    <w:p w:rsidR="00934D65" w:rsidRPr="004E1889" w:rsidRDefault="00C30C6D" w:rsidP="00934D65">
      <w:pPr>
        <w:pStyle w:val="Default"/>
        <w:ind w:left="708"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zona 2a2 </w:t>
      </w:r>
      <w:r w:rsidR="00934D65"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>- najviše 0,10</w:t>
      </w:r>
    </w:p>
    <w:p w:rsidR="004E1889" w:rsidRPr="004E1889" w:rsidRDefault="004E1889" w:rsidP="004E1889">
      <w:pPr>
        <w:pStyle w:val="Default"/>
        <w:ind w:left="708" w:firstLine="708"/>
        <w:rPr>
          <w:sz w:val="22"/>
          <w:szCs w:val="20"/>
        </w:rPr>
      </w:pPr>
      <w:r w:rsidRPr="004E1889">
        <w:rPr>
          <w:sz w:val="22"/>
          <w:szCs w:val="20"/>
        </w:rPr>
        <w:t>- zona 2a3</w:t>
      </w:r>
      <w:r w:rsidRPr="004E1889">
        <w:rPr>
          <w:sz w:val="22"/>
          <w:szCs w:val="20"/>
        </w:rPr>
        <w:tab/>
        <w:t>- najviše 0,30</w:t>
      </w:r>
    </w:p>
    <w:p w:rsidR="004E1889" w:rsidRPr="004E1889" w:rsidRDefault="004E1889" w:rsidP="004E1889">
      <w:pPr>
        <w:pStyle w:val="Default"/>
        <w:ind w:left="708" w:firstLine="708"/>
        <w:rPr>
          <w:sz w:val="22"/>
          <w:szCs w:val="20"/>
        </w:rPr>
      </w:pPr>
      <w:r w:rsidRPr="004E1889">
        <w:rPr>
          <w:sz w:val="22"/>
          <w:szCs w:val="20"/>
        </w:rPr>
        <w:t>- zona 2a4</w:t>
      </w:r>
      <w:r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najviše 0,20 </w:t>
      </w:r>
    </w:p>
    <w:p w:rsidR="004E1889" w:rsidRPr="004E1889" w:rsidRDefault="004E1889" w:rsidP="004E1889">
      <w:pPr>
        <w:pStyle w:val="Default"/>
        <w:ind w:left="1416"/>
        <w:rPr>
          <w:sz w:val="22"/>
          <w:szCs w:val="20"/>
        </w:rPr>
      </w:pPr>
      <w:r w:rsidRPr="004E1889">
        <w:rPr>
          <w:sz w:val="22"/>
          <w:szCs w:val="20"/>
        </w:rPr>
        <w:t xml:space="preserve">- zona 2a5 </w:t>
      </w:r>
      <w:r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najviše 0,20 </w:t>
      </w:r>
    </w:p>
    <w:p w:rsidR="004E1889" w:rsidRPr="004E1889" w:rsidRDefault="004E1889" w:rsidP="004E1889">
      <w:pPr>
        <w:pStyle w:val="Default"/>
        <w:ind w:left="1416"/>
        <w:rPr>
          <w:sz w:val="22"/>
          <w:szCs w:val="20"/>
        </w:rPr>
      </w:pPr>
      <w:r w:rsidRPr="004E1889">
        <w:rPr>
          <w:sz w:val="22"/>
          <w:szCs w:val="20"/>
        </w:rPr>
        <w:t>- koeficijent iskoristivosti nadzemno (K</w:t>
      </w:r>
      <w:r w:rsidRPr="004E1889">
        <w:rPr>
          <w:sz w:val="15"/>
          <w:szCs w:val="13"/>
        </w:rPr>
        <w:t>in</w:t>
      </w:r>
      <w:r w:rsidRPr="004E1889">
        <w:rPr>
          <w:sz w:val="22"/>
          <w:szCs w:val="20"/>
        </w:rPr>
        <w:t xml:space="preserve">) građevne čestice iznosi: </w:t>
      </w:r>
    </w:p>
    <w:p w:rsidR="004E1889" w:rsidRPr="004E1889" w:rsidRDefault="004E1889" w:rsidP="004E1889">
      <w:pPr>
        <w:pStyle w:val="Default"/>
        <w:ind w:left="1416"/>
        <w:rPr>
          <w:sz w:val="22"/>
          <w:szCs w:val="20"/>
        </w:rPr>
      </w:pPr>
      <w:r w:rsidRPr="004E1889">
        <w:rPr>
          <w:sz w:val="22"/>
          <w:szCs w:val="20"/>
        </w:rPr>
        <w:t xml:space="preserve">- zona 2a1 </w:t>
      </w:r>
      <w:r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najviše 0,40 </w:t>
      </w:r>
    </w:p>
    <w:p w:rsidR="004E1889" w:rsidRPr="004E1889" w:rsidRDefault="004E1889" w:rsidP="004E1889">
      <w:pPr>
        <w:pStyle w:val="Default"/>
        <w:ind w:left="1416"/>
        <w:rPr>
          <w:sz w:val="22"/>
          <w:szCs w:val="20"/>
        </w:rPr>
      </w:pPr>
      <w:r w:rsidRPr="004E1889">
        <w:rPr>
          <w:sz w:val="22"/>
          <w:szCs w:val="20"/>
        </w:rPr>
        <w:t xml:space="preserve">- zona 2a2 </w:t>
      </w:r>
      <w:r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najviše 0,10 </w:t>
      </w:r>
    </w:p>
    <w:p w:rsidR="004E1889" w:rsidRPr="004E1889" w:rsidRDefault="004E1889" w:rsidP="004E1889">
      <w:pPr>
        <w:pStyle w:val="Default"/>
        <w:ind w:left="1416"/>
        <w:rPr>
          <w:sz w:val="22"/>
          <w:szCs w:val="20"/>
        </w:rPr>
      </w:pPr>
      <w:r w:rsidRPr="004E1889">
        <w:rPr>
          <w:sz w:val="22"/>
          <w:szCs w:val="20"/>
        </w:rPr>
        <w:t xml:space="preserve">- zona 2a3 </w:t>
      </w:r>
      <w:r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najviše 0,30 </w:t>
      </w:r>
    </w:p>
    <w:p w:rsidR="004E1889" w:rsidRPr="004E1889" w:rsidRDefault="004E1889" w:rsidP="004E1889">
      <w:pPr>
        <w:pStyle w:val="Default"/>
        <w:ind w:left="1416"/>
        <w:rPr>
          <w:sz w:val="22"/>
          <w:szCs w:val="20"/>
        </w:rPr>
      </w:pPr>
      <w:r w:rsidRPr="004E1889">
        <w:rPr>
          <w:sz w:val="22"/>
          <w:szCs w:val="20"/>
        </w:rPr>
        <w:t xml:space="preserve">- zona 2a4 </w:t>
      </w:r>
      <w:r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najviše 0,30 </w:t>
      </w:r>
    </w:p>
    <w:p w:rsidR="004E1889" w:rsidRPr="004E1889" w:rsidRDefault="004E1889" w:rsidP="004E1889">
      <w:pPr>
        <w:pStyle w:val="Default"/>
        <w:ind w:left="1416"/>
        <w:rPr>
          <w:sz w:val="22"/>
          <w:szCs w:val="20"/>
        </w:rPr>
      </w:pPr>
      <w:r w:rsidRPr="004E1889">
        <w:rPr>
          <w:sz w:val="22"/>
          <w:szCs w:val="20"/>
        </w:rPr>
        <w:t xml:space="preserve">- zona 2a5 </w:t>
      </w:r>
      <w:r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>- najviš</w:t>
      </w:r>
      <w:r w:rsidRPr="004E1889">
        <w:rPr>
          <w:sz w:val="22"/>
          <w:szCs w:val="20"/>
        </w:rPr>
        <w:t xml:space="preserve">e 0,20 </w:t>
      </w:r>
    </w:p>
    <w:p w:rsidR="004E1889" w:rsidRPr="004E1889" w:rsidRDefault="004E1889" w:rsidP="00934D65">
      <w:pPr>
        <w:pStyle w:val="Default"/>
        <w:ind w:left="708" w:firstLine="708"/>
        <w:rPr>
          <w:sz w:val="22"/>
          <w:szCs w:val="20"/>
        </w:rPr>
      </w:pP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>- koeficijent iskoristivosti nadzemno (K</w:t>
      </w:r>
      <w:r w:rsidRPr="004E1889">
        <w:rPr>
          <w:sz w:val="15"/>
          <w:szCs w:val="13"/>
        </w:rPr>
        <w:t>in</w:t>
      </w:r>
      <w:r w:rsidRPr="004E1889">
        <w:rPr>
          <w:sz w:val="22"/>
          <w:szCs w:val="20"/>
        </w:rPr>
        <w:t xml:space="preserve">) građevne čestice iznosi: </w:t>
      </w:r>
    </w:p>
    <w:p w:rsidR="00C30C6D" w:rsidRPr="004E1889" w:rsidRDefault="00C30C6D" w:rsidP="004E1889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za hotelsku izgradnju iznosi najviše 0,80 </w:t>
      </w: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- za manje turističko-ugostiteljske građevine iznosi najviše 0,50 </w:t>
      </w:r>
    </w:p>
    <w:p w:rsidR="00C30C6D" w:rsidRPr="004E1889" w:rsidRDefault="00C30C6D" w:rsidP="00C30C6D">
      <w:pPr>
        <w:pStyle w:val="Default"/>
        <w:rPr>
          <w:sz w:val="15"/>
          <w:szCs w:val="13"/>
        </w:rPr>
      </w:pPr>
      <w:r w:rsidRPr="004E1889">
        <w:rPr>
          <w:sz w:val="22"/>
          <w:szCs w:val="20"/>
        </w:rPr>
        <w:t>- najveća tlocrtna površina manjih turističko-ugostiteljskih građevina iznosi 250 m</w:t>
      </w:r>
      <w:r w:rsidRPr="004E1889">
        <w:rPr>
          <w:sz w:val="15"/>
          <w:szCs w:val="13"/>
        </w:rPr>
        <w:t xml:space="preserve">2 </w:t>
      </w: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- najmanja udaljenost građevine od ruba građevne čestice iznosi 3,0 m </w:t>
      </w: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- najmanja udaljenost građevine od granice katastarske čestice prometnice ili javne površine propisana je u poglavlju 5.1. ovih Odredbi </w:t>
      </w: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- površina uređene zelene površine iznosi najmanje 30% građevne čestice </w:t>
      </w: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- građevna čestica mora biti uređena: </w:t>
      </w:r>
    </w:p>
    <w:p w:rsidR="00C30C6D" w:rsidRPr="004E1889" w:rsidRDefault="00C30C6D" w:rsidP="004E1889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ozelenjavanjem </w:t>
      </w:r>
    </w:p>
    <w:p w:rsidR="00C30C6D" w:rsidRPr="004E1889" w:rsidRDefault="00C30C6D" w:rsidP="004E1889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ograđivanjem (tamo gdje je to potrebno iz sigurnosnih ili drugih razloga) </w:t>
      </w: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- parkirališni i manipulativni prostor smješta se unutar građevne čestice </w:t>
      </w: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- broj parkirališnih mjesta definiran je poglavljem 5.1. ovih Odredbi </w:t>
      </w:r>
    </w:p>
    <w:p w:rsidR="004E1889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- pod uređenjem građevne čestice zone 2a podrazumjeva se i izgradnja sportsko-rekreacijskih terena na prirodnoj podlozi, otvorenih bazena i sličnih sadržaja, koji se ne uračunavaju u izgrađenost građevne čestice </w:t>
      </w:r>
    </w:p>
    <w:p w:rsidR="004E1889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- najveća visina građevina (v = visina do vijenca) i broj nadzemnih etaža iznosi: </w:t>
      </w: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- za izgradnju obiteljskih hotela unutar zone 1: </w:t>
      </w:r>
    </w:p>
    <w:p w:rsidR="00C30C6D" w:rsidRPr="004E1889" w:rsidRDefault="00C30C6D" w:rsidP="004E1889">
      <w:pPr>
        <w:pStyle w:val="Default"/>
        <w:ind w:left="708"/>
        <w:rPr>
          <w:sz w:val="22"/>
          <w:szCs w:val="20"/>
        </w:rPr>
      </w:pPr>
      <w:r w:rsidRPr="004E1889">
        <w:rPr>
          <w:sz w:val="22"/>
          <w:szCs w:val="20"/>
        </w:rPr>
        <w:t xml:space="preserve">- broj etaža: najviše 3 nadzemne etaže i pretežito ukopana etaža (PPo) ili najviše 4 nadzemne etaže </w:t>
      </w:r>
    </w:p>
    <w:p w:rsidR="004E1889" w:rsidRPr="004E1889" w:rsidRDefault="00C30C6D" w:rsidP="006E6F3C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visina građevine: najviše 8,5 m </w:t>
      </w: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- u zoni 2a: </w:t>
      </w:r>
    </w:p>
    <w:p w:rsidR="00C30C6D" w:rsidRPr="004E1889" w:rsidRDefault="00C30C6D" w:rsidP="004E1889">
      <w:pPr>
        <w:pStyle w:val="Default"/>
        <w:ind w:left="708"/>
        <w:rPr>
          <w:sz w:val="22"/>
          <w:szCs w:val="20"/>
        </w:rPr>
      </w:pPr>
      <w:r w:rsidRPr="004E1889">
        <w:rPr>
          <w:sz w:val="22"/>
          <w:szCs w:val="20"/>
        </w:rPr>
        <w:t xml:space="preserve">- zona 2a1 </w:t>
      </w:r>
      <w:r w:rsidR="004E1889"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najviše 10,0 m, P+2 </w:t>
      </w:r>
    </w:p>
    <w:p w:rsidR="00C30C6D" w:rsidRPr="004E1889" w:rsidRDefault="00C30C6D" w:rsidP="004E1889">
      <w:pPr>
        <w:pStyle w:val="Default"/>
        <w:ind w:left="708"/>
        <w:rPr>
          <w:sz w:val="22"/>
          <w:szCs w:val="20"/>
        </w:rPr>
      </w:pPr>
      <w:r w:rsidRPr="004E1889">
        <w:rPr>
          <w:sz w:val="22"/>
          <w:szCs w:val="20"/>
        </w:rPr>
        <w:t xml:space="preserve">- zona 2a2 </w:t>
      </w:r>
      <w:r w:rsidR="004E1889"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najviše 4,5 m, P </w:t>
      </w:r>
    </w:p>
    <w:p w:rsidR="00C30C6D" w:rsidRPr="004E1889" w:rsidRDefault="00C30C6D" w:rsidP="004E1889">
      <w:pPr>
        <w:pStyle w:val="Default"/>
        <w:ind w:left="708"/>
        <w:rPr>
          <w:sz w:val="22"/>
          <w:szCs w:val="20"/>
        </w:rPr>
      </w:pPr>
      <w:r w:rsidRPr="004E1889">
        <w:rPr>
          <w:sz w:val="22"/>
          <w:szCs w:val="20"/>
        </w:rPr>
        <w:t xml:space="preserve">- zona 2a3 </w:t>
      </w:r>
      <w:r w:rsidR="004E1889"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najviše 4,5 m, P </w:t>
      </w:r>
    </w:p>
    <w:p w:rsidR="00C30C6D" w:rsidRPr="004E1889" w:rsidRDefault="00C30C6D" w:rsidP="004E1889">
      <w:pPr>
        <w:pStyle w:val="Default"/>
        <w:ind w:left="708"/>
        <w:rPr>
          <w:sz w:val="22"/>
          <w:szCs w:val="20"/>
        </w:rPr>
      </w:pPr>
      <w:r w:rsidRPr="004E1889">
        <w:rPr>
          <w:sz w:val="22"/>
          <w:szCs w:val="20"/>
        </w:rPr>
        <w:t xml:space="preserve">- zona 2a4 </w:t>
      </w:r>
      <w:r w:rsidR="004E1889"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najviše 6,5 m, P+1 </w:t>
      </w:r>
    </w:p>
    <w:p w:rsidR="00C30C6D" w:rsidRPr="004E1889" w:rsidRDefault="00C30C6D" w:rsidP="004E1889">
      <w:pPr>
        <w:pStyle w:val="Default"/>
        <w:ind w:left="708"/>
        <w:rPr>
          <w:sz w:val="22"/>
          <w:szCs w:val="20"/>
        </w:rPr>
      </w:pPr>
      <w:r w:rsidRPr="004E1889">
        <w:rPr>
          <w:sz w:val="22"/>
          <w:szCs w:val="20"/>
        </w:rPr>
        <w:t>- zona 2a5</w:t>
      </w:r>
      <w:r w:rsidR="004E1889" w:rsidRPr="004E1889">
        <w:rPr>
          <w:sz w:val="22"/>
          <w:szCs w:val="20"/>
        </w:rPr>
        <w:tab/>
      </w:r>
      <w:r w:rsidRPr="004E1889">
        <w:rPr>
          <w:sz w:val="22"/>
          <w:szCs w:val="20"/>
        </w:rPr>
        <w:t xml:space="preserve">- najviše 4,5 m, P </w:t>
      </w:r>
    </w:p>
    <w:p w:rsidR="004E1889" w:rsidRPr="004E1889" w:rsidRDefault="004E1889" w:rsidP="004E1889">
      <w:pPr>
        <w:pStyle w:val="Default"/>
        <w:ind w:left="708"/>
        <w:rPr>
          <w:sz w:val="22"/>
          <w:szCs w:val="20"/>
        </w:rPr>
      </w:pP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- za manje turističko-ugostiteljske građevine: </w:t>
      </w:r>
    </w:p>
    <w:p w:rsidR="00C30C6D" w:rsidRPr="004E1889" w:rsidRDefault="00C30C6D" w:rsidP="004E1889">
      <w:pPr>
        <w:pStyle w:val="Default"/>
        <w:ind w:left="708"/>
        <w:rPr>
          <w:sz w:val="22"/>
          <w:szCs w:val="20"/>
        </w:rPr>
      </w:pPr>
      <w:r w:rsidRPr="004E1889">
        <w:rPr>
          <w:sz w:val="22"/>
          <w:szCs w:val="20"/>
        </w:rPr>
        <w:t xml:space="preserve">- broj etaža: jedna nadzemna etaža i pretežito ukopana etaža (PPo) ili najviše 2 nadzemne etaže </w:t>
      </w:r>
    </w:p>
    <w:p w:rsidR="00C30C6D" w:rsidRDefault="00C30C6D" w:rsidP="004E1889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visina građevine iznosi najviše 8,5 m.” </w:t>
      </w:r>
    </w:p>
    <w:p w:rsidR="006E6F3C" w:rsidRDefault="006E6F3C" w:rsidP="004E1889">
      <w:pPr>
        <w:pStyle w:val="Default"/>
        <w:ind w:firstLine="708"/>
        <w:rPr>
          <w:sz w:val="22"/>
          <w:szCs w:val="20"/>
        </w:rPr>
      </w:pPr>
    </w:p>
    <w:p w:rsidR="006E6F3C" w:rsidRDefault="006E6F3C" w:rsidP="004E1889">
      <w:pPr>
        <w:pStyle w:val="Default"/>
        <w:ind w:firstLine="708"/>
        <w:rPr>
          <w:sz w:val="22"/>
          <w:szCs w:val="20"/>
        </w:rPr>
      </w:pPr>
    </w:p>
    <w:p w:rsidR="006E6F3C" w:rsidRDefault="006E6F3C" w:rsidP="004E1889">
      <w:pPr>
        <w:pStyle w:val="Default"/>
        <w:ind w:firstLine="708"/>
        <w:rPr>
          <w:sz w:val="22"/>
          <w:szCs w:val="20"/>
        </w:rPr>
      </w:pPr>
    </w:p>
    <w:p w:rsidR="006E6F3C" w:rsidRPr="004E1889" w:rsidRDefault="006E6F3C" w:rsidP="004E1889">
      <w:pPr>
        <w:pStyle w:val="Default"/>
        <w:ind w:firstLine="708"/>
        <w:rPr>
          <w:sz w:val="22"/>
          <w:szCs w:val="20"/>
        </w:rPr>
      </w:pPr>
    </w:p>
    <w:p w:rsidR="00C30C6D" w:rsidRPr="004E1889" w:rsidRDefault="00C30C6D" w:rsidP="004E1889">
      <w:pPr>
        <w:pStyle w:val="Default"/>
        <w:jc w:val="center"/>
        <w:rPr>
          <w:sz w:val="22"/>
          <w:szCs w:val="20"/>
        </w:rPr>
      </w:pPr>
      <w:r w:rsidRPr="004E1889">
        <w:rPr>
          <w:sz w:val="22"/>
          <w:szCs w:val="20"/>
        </w:rPr>
        <w:lastRenderedPageBreak/>
        <w:t>Članak 4.</w:t>
      </w:r>
    </w:p>
    <w:p w:rsidR="00C30C6D" w:rsidRPr="004E1889" w:rsidRDefault="00C30C6D" w:rsidP="004E1889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U članku 37., iza stavka (4) dodaje se stavak (5): </w:t>
      </w:r>
    </w:p>
    <w:p w:rsidR="00C30C6D" w:rsidRDefault="00C30C6D" w:rsidP="00C30C6D">
      <w:pPr>
        <w:pStyle w:val="Default"/>
        <w:rPr>
          <w:sz w:val="20"/>
          <w:szCs w:val="18"/>
        </w:rPr>
      </w:pPr>
      <w:r w:rsidRPr="004E1889">
        <w:rPr>
          <w:sz w:val="22"/>
          <w:szCs w:val="20"/>
        </w:rPr>
        <w:t>“(5) Sukladno članku 125. Zakona o prostornom uređenju i gradnji, kod rekonstrukcije i/ili dogradnje postojećih ugostiteljsko-turističkih građevina (uz zadržavanje iste namjene ili kod promjene namjene) potrebni broj parkirališno-garažnih mjesta utvrđuje se u postupku izdavanja lokacijske dozvole i rješenja o uvjetima građ</w:t>
      </w:r>
      <w:r w:rsidR="004E1889" w:rsidRPr="004E1889">
        <w:rPr>
          <w:sz w:val="22"/>
          <w:szCs w:val="20"/>
        </w:rPr>
        <w:t>enja prema lokalnim uvjetima.“</w:t>
      </w:r>
      <w:r w:rsidRPr="004E1889">
        <w:rPr>
          <w:sz w:val="20"/>
          <w:szCs w:val="18"/>
        </w:rPr>
        <w:t xml:space="preserve"> </w:t>
      </w:r>
    </w:p>
    <w:p w:rsidR="006E6F3C" w:rsidRDefault="006E6F3C" w:rsidP="00C30C6D">
      <w:pPr>
        <w:pStyle w:val="Default"/>
        <w:rPr>
          <w:sz w:val="20"/>
          <w:szCs w:val="18"/>
        </w:rPr>
      </w:pPr>
    </w:p>
    <w:p w:rsidR="006E6F3C" w:rsidRDefault="006E6F3C" w:rsidP="00C30C6D">
      <w:pPr>
        <w:pStyle w:val="Default"/>
        <w:rPr>
          <w:sz w:val="20"/>
          <w:szCs w:val="18"/>
        </w:rPr>
      </w:pPr>
    </w:p>
    <w:p w:rsidR="006E6F3C" w:rsidRPr="006E6F3C" w:rsidRDefault="006E6F3C" w:rsidP="006E6F3C">
      <w:pPr>
        <w:pStyle w:val="Default"/>
        <w:numPr>
          <w:ilvl w:val="0"/>
          <w:numId w:val="1"/>
        </w:numPr>
        <w:rPr>
          <w:b/>
          <w:szCs w:val="18"/>
        </w:rPr>
      </w:pPr>
      <w:r w:rsidRPr="006E6F3C">
        <w:rPr>
          <w:b/>
          <w:szCs w:val="18"/>
        </w:rPr>
        <w:t>P R I J E L A Z N E  I  Z A V R Š N E  O D R E D B E</w:t>
      </w:r>
    </w:p>
    <w:p w:rsidR="004E1889" w:rsidRDefault="004E1889" w:rsidP="004E1889">
      <w:pPr>
        <w:pStyle w:val="Default"/>
        <w:ind w:firstLine="708"/>
        <w:rPr>
          <w:sz w:val="22"/>
          <w:szCs w:val="20"/>
        </w:rPr>
      </w:pPr>
    </w:p>
    <w:p w:rsidR="004E1889" w:rsidRDefault="004E1889" w:rsidP="004E1889">
      <w:pPr>
        <w:pStyle w:val="Default"/>
        <w:ind w:firstLine="708"/>
        <w:rPr>
          <w:sz w:val="22"/>
          <w:szCs w:val="20"/>
        </w:rPr>
      </w:pPr>
    </w:p>
    <w:p w:rsidR="004E1889" w:rsidRDefault="004E1889" w:rsidP="004E1889">
      <w:pPr>
        <w:pStyle w:val="Default"/>
        <w:jc w:val="center"/>
        <w:rPr>
          <w:sz w:val="22"/>
          <w:szCs w:val="20"/>
        </w:rPr>
      </w:pPr>
      <w:r>
        <w:rPr>
          <w:sz w:val="22"/>
          <w:szCs w:val="20"/>
        </w:rPr>
        <w:t>Članak 5.</w:t>
      </w:r>
    </w:p>
    <w:p w:rsidR="00C30C6D" w:rsidRPr="004E1889" w:rsidRDefault="00C30C6D" w:rsidP="004E1889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Urbanistički plan uređenja naselja Medveja (“Službene novine Primorsko - goranske županije” broj 31/11) primjenjivat će se u postupcima izdavanja upravnih akata pokrenutih prije stupanja na snagu ove odluke. </w:t>
      </w:r>
    </w:p>
    <w:p w:rsidR="004E1889" w:rsidRPr="004E1889" w:rsidRDefault="004E1889" w:rsidP="004E1889">
      <w:pPr>
        <w:pStyle w:val="Default"/>
        <w:ind w:firstLine="708"/>
        <w:rPr>
          <w:sz w:val="22"/>
          <w:szCs w:val="20"/>
        </w:rPr>
      </w:pPr>
    </w:p>
    <w:p w:rsidR="00C30C6D" w:rsidRPr="004E1889" w:rsidRDefault="00C30C6D" w:rsidP="004E1889">
      <w:pPr>
        <w:pStyle w:val="Default"/>
        <w:jc w:val="center"/>
        <w:rPr>
          <w:sz w:val="22"/>
          <w:szCs w:val="20"/>
        </w:rPr>
      </w:pPr>
      <w:r w:rsidRPr="004E1889">
        <w:rPr>
          <w:sz w:val="22"/>
          <w:szCs w:val="20"/>
        </w:rPr>
        <w:t>Članak 6.</w:t>
      </w:r>
    </w:p>
    <w:p w:rsidR="00C30C6D" w:rsidRPr="004E1889" w:rsidRDefault="00C30C6D" w:rsidP="004E1889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Urbanistički plan uređenja naselja Medveja – izmjene i dopune izrađene su u 6 (šest) izvornika ovjerenih pečatom Općinskog vijeća Općine Lovran i potpisom predsjednice Općinskog vijeća Općine Lovran. </w:t>
      </w:r>
    </w:p>
    <w:p w:rsidR="00C30C6D" w:rsidRPr="004E1889" w:rsidRDefault="00C30C6D" w:rsidP="004E1889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Dva se izvornika čuvaju u pismohrani Općine Lovran, a po jedan izvornik zajedno s ovom Odlukom dostavlja se: </w:t>
      </w:r>
    </w:p>
    <w:p w:rsidR="00C30C6D" w:rsidRPr="004E1889" w:rsidRDefault="00C30C6D" w:rsidP="004E1889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Ministarstvu graditeljstva i prostornog uređenja </w:t>
      </w:r>
    </w:p>
    <w:p w:rsidR="00C30C6D" w:rsidRPr="004E1889" w:rsidRDefault="00C30C6D" w:rsidP="004E1889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Ministarstvu kulture, Upravi za zaštitu kulturne baštine, Konzervatorskom odjelu u Rijeci </w:t>
      </w:r>
    </w:p>
    <w:p w:rsidR="00C30C6D" w:rsidRPr="004E1889" w:rsidRDefault="00C30C6D" w:rsidP="004E1889">
      <w:pPr>
        <w:pStyle w:val="Default"/>
        <w:ind w:left="708"/>
        <w:rPr>
          <w:sz w:val="22"/>
          <w:szCs w:val="20"/>
        </w:rPr>
      </w:pPr>
      <w:r w:rsidRPr="004E1889">
        <w:rPr>
          <w:sz w:val="22"/>
          <w:szCs w:val="20"/>
        </w:rPr>
        <w:t xml:space="preserve">- Primorsko - goranskoj županiji, Upravnom odjelu za graditeljstvo i zaštitu okoliša, Ispostava Opatija </w:t>
      </w:r>
    </w:p>
    <w:p w:rsidR="00C30C6D" w:rsidRPr="004E1889" w:rsidRDefault="00C30C6D" w:rsidP="004E1889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- Javnoj ustanovi Zavodu za prostorno uređenje Primorsko - goranske županije. </w:t>
      </w:r>
    </w:p>
    <w:p w:rsidR="004E1889" w:rsidRPr="004E1889" w:rsidRDefault="004E1889" w:rsidP="004E1889">
      <w:pPr>
        <w:pStyle w:val="Default"/>
        <w:ind w:firstLine="708"/>
        <w:rPr>
          <w:sz w:val="22"/>
          <w:szCs w:val="20"/>
        </w:rPr>
      </w:pPr>
    </w:p>
    <w:p w:rsidR="00C30C6D" w:rsidRPr="004E1889" w:rsidRDefault="00C30C6D" w:rsidP="004E1889">
      <w:pPr>
        <w:pStyle w:val="Default"/>
        <w:jc w:val="center"/>
        <w:rPr>
          <w:sz w:val="22"/>
          <w:szCs w:val="20"/>
        </w:rPr>
      </w:pPr>
      <w:r w:rsidRPr="004E1889">
        <w:rPr>
          <w:sz w:val="22"/>
          <w:szCs w:val="20"/>
        </w:rPr>
        <w:t>Članak 7.</w:t>
      </w:r>
    </w:p>
    <w:p w:rsidR="00C30C6D" w:rsidRPr="004E1889" w:rsidRDefault="00C30C6D" w:rsidP="004E1889">
      <w:pPr>
        <w:pStyle w:val="Default"/>
        <w:ind w:firstLine="708"/>
        <w:rPr>
          <w:sz w:val="22"/>
          <w:szCs w:val="20"/>
        </w:rPr>
      </w:pPr>
      <w:r w:rsidRPr="004E1889">
        <w:rPr>
          <w:sz w:val="22"/>
          <w:szCs w:val="20"/>
        </w:rPr>
        <w:t xml:space="preserve">Ova odluka stupa na snagu osmog dana nakon objave u “Službenim novinama Primorsko - goranske županije”. </w:t>
      </w:r>
    </w:p>
    <w:p w:rsidR="004E1889" w:rsidRPr="004E1889" w:rsidRDefault="004E1889" w:rsidP="004E1889">
      <w:pPr>
        <w:pStyle w:val="Default"/>
        <w:ind w:firstLine="708"/>
        <w:rPr>
          <w:sz w:val="22"/>
          <w:szCs w:val="20"/>
        </w:rPr>
      </w:pPr>
    </w:p>
    <w:p w:rsidR="004E1889" w:rsidRPr="004E1889" w:rsidRDefault="004E1889" w:rsidP="004E1889">
      <w:pPr>
        <w:pStyle w:val="Default"/>
        <w:ind w:firstLine="708"/>
        <w:rPr>
          <w:sz w:val="22"/>
          <w:szCs w:val="20"/>
        </w:rPr>
      </w:pPr>
    </w:p>
    <w:p w:rsidR="004E1889" w:rsidRPr="004E1889" w:rsidRDefault="004E1889" w:rsidP="004E1889">
      <w:pPr>
        <w:pStyle w:val="Default"/>
        <w:ind w:firstLine="708"/>
        <w:rPr>
          <w:sz w:val="22"/>
          <w:szCs w:val="20"/>
        </w:rPr>
      </w:pPr>
    </w:p>
    <w:p w:rsidR="004E1889" w:rsidRPr="004E1889" w:rsidRDefault="004E1889" w:rsidP="004E1889">
      <w:pPr>
        <w:pStyle w:val="Default"/>
        <w:ind w:firstLine="708"/>
        <w:rPr>
          <w:sz w:val="22"/>
          <w:szCs w:val="20"/>
        </w:rPr>
      </w:pPr>
    </w:p>
    <w:p w:rsidR="004E1889" w:rsidRPr="004E1889" w:rsidRDefault="004E1889" w:rsidP="004E1889">
      <w:pPr>
        <w:pStyle w:val="Default"/>
        <w:ind w:firstLine="708"/>
        <w:rPr>
          <w:sz w:val="22"/>
          <w:szCs w:val="20"/>
        </w:rPr>
      </w:pP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Klasa: </w:t>
      </w: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Ur. broj: </w:t>
      </w:r>
    </w:p>
    <w:p w:rsidR="00C30C6D" w:rsidRPr="004E1889" w:rsidRDefault="00C30C6D" w:rsidP="00C30C6D">
      <w:pPr>
        <w:pStyle w:val="Default"/>
        <w:rPr>
          <w:sz w:val="22"/>
          <w:szCs w:val="20"/>
        </w:rPr>
      </w:pPr>
      <w:r w:rsidRPr="004E1889">
        <w:rPr>
          <w:sz w:val="22"/>
          <w:szCs w:val="20"/>
        </w:rPr>
        <w:t xml:space="preserve">Lovran, </w:t>
      </w:r>
    </w:p>
    <w:p w:rsidR="004E1889" w:rsidRPr="004E1889" w:rsidRDefault="004E1889" w:rsidP="00C30C6D">
      <w:pPr>
        <w:pStyle w:val="Default"/>
        <w:rPr>
          <w:sz w:val="22"/>
          <w:szCs w:val="20"/>
        </w:rPr>
      </w:pPr>
    </w:p>
    <w:p w:rsidR="004E1889" w:rsidRPr="004E1889" w:rsidRDefault="004E1889" w:rsidP="00C30C6D">
      <w:pPr>
        <w:pStyle w:val="Default"/>
        <w:rPr>
          <w:sz w:val="22"/>
          <w:szCs w:val="20"/>
        </w:rPr>
      </w:pPr>
    </w:p>
    <w:p w:rsidR="004E1889" w:rsidRPr="004E1889" w:rsidRDefault="004E1889" w:rsidP="00C30C6D">
      <w:pPr>
        <w:pStyle w:val="Default"/>
        <w:rPr>
          <w:sz w:val="22"/>
          <w:szCs w:val="20"/>
        </w:rPr>
      </w:pPr>
      <w:bookmarkStart w:id="0" w:name="_GoBack"/>
      <w:bookmarkEnd w:id="0"/>
    </w:p>
    <w:p w:rsidR="004E1889" w:rsidRPr="004E1889" w:rsidRDefault="004E1889" w:rsidP="004E1889">
      <w:pPr>
        <w:pStyle w:val="Default"/>
        <w:jc w:val="center"/>
        <w:rPr>
          <w:sz w:val="22"/>
          <w:szCs w:val="20"/>
        </w:rPr>
      </w:pPr>
    </w:p>
    <w:p w:rsidR="00C30C6D" w:rsidRPr="004E1889" w:rsidRDefault="00C30C6D" w:rsidP="004E1889">
      <w:pPr>
        <w:pStyle w:val="Default"/>
        <w:jc w:val="center"/>
        <w:rPr>
          <w:sz w:val="22"/>
          <w:szCs w:val="20"/>
        </w:rPr>
      </w:pPr>
      <w:r w:rsidRPr="004E1889">
        <w:rPr>
          <w:sz w:val="22"/>
          <w:szCs w:val="20"/>
        </w:rPr>
        <w:t>OPĆINSKO VIJEĆE OPĆINE LOVRAN</w:t>
      </w:r>
    </w:p>
    <w:p w:rsidR="004E1889" w:rsidRPr="004E1889" w:rsidRDefault="00C30C6D" w:rsidP="004E1889">
      <w:pPr>
        <w:jc w:val="center"/>
        <w:rPr>
          <w:sz w:val="24"/>
          <w:szCs w:val="20"/>
        </w:rPr>
      </w:pPr>
      <w:r w:rsidRPr="004E1889">
        <w:rPr>
          <w:sz w:val="24"/>
          <w:szCs w:val="20"/>
        </w:rPr>
        <w:t xml:space="preserve">Predsjednica </w:t>
      </w:r>
    </w:p>
    <w:p w:rsidR="00020FCD" w:rsidRPr="004E1889" w:rsidRDefault="00C30C6D" w:rsidP="004E1889">
      <w:pPr>
        <w:jc w:val="center"/>
        <w:rPr>
          <w:sz w:val="24"/>
          <w:szCs w:val="20"/>
        </w:rPr>
      </w:pPr>
      <w:r w:rsidRPr="004E1889">
        <w:rPr>
          <w:sz w:val="24"/>
          <w:szCs w:val="20"/>
        </w:rPr>
        <w:t>Đurđica Tancabel, v.r.</w:t>
      </w:r>
    </w:p>
    <w:sectPr w:rsidR="00020FCD" w:rsidRPr="004E188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BAF" w:rsidRDefault="00691BAF" w:rsidP="00C30C6D">
      <w:pPr>
        <w:spacing w:after="0" w:line="240" w:lineRule="auto"/>
      </w:pPr>
      <w:r>
        <w:separator/>
      </w:r>
    </w:p>
  </w:endnote>
  <w:endnote w:type="continuationSeparator" w:id="0">
    <w:p w:rsidR="00691BAF" w:rsidRDefault="00691BAF" w:rsidP="00C30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65" w:rsidRPr="00934D65" w:rsidRDefault="00934D65">
    <w:pPr>
      <w:pStyle w:val="Footer"/>
      <w:rPr>
        <w:sz w:val="28"/>
      </w:rPr>
    </w:pPr>
    <w:r w:rsidRPr="00934D65">
      <w:rPr>
        <w:b/>
        <w:bCs/>
        <w:szCs w:val="18"/>
      </w:rPr>
      <w:t xml:space="preserve">CPA </w:t>
    </w:r>
    <w:r w:rsidRPr="00934D65">
      <w:rPr>
        <w:szCs w:val="18"/>
      </w:rPr>
      <w:t>d.o.o. Zagreb, Odranska 2</w:t>
    </w:r>
    <w:r w:rsidR="006E6F3C">
      <w:rPr>
        <w:szCs w:val="18"/>
      </w:rPr>
      <w:tab/>
    </w:r>
    <w:r w:rsidR="006E6F3C">
      <w:rPr>
        <w:szCs w:val="18"/>
      </w:rPr>
      <w:tab/>
    </w:r>
    <w:r w:rsidR="006E6F3C">
      <w:rPr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BAF" w:rsidRDefault="00691BAF" w:rsidP="00C30C6D">
      <w:pPr>
        <w:spacing w:after="0" w:line="240" w:lineRule="auto"/>
      </w:pPr>
      <w:r>
        <w:separator/>
      </w:r>
    </w:p>
  </w:footnote>
  <w:footnote w:type="continuationSeparator" w:id="0">
    <w:p w:rsidR="00691BAF" w:rsidRDefault="00691BAF" w:rsidP="00C30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Cs w:val="18"/>
      </w:rPr>
      <w:alias w:val="Title"/>
      <w:id w:val="77547040"/>
      <w:placeholder>
        <w:docPart w:val="C0D03AC32CF94F80A260D8158A2FCD0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30C6D" w:rsidRPr="00C30C6D" w:rsidRDefault="00C30C6D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sz w:val="28"/>
          </w:rPr>
        </w:pPr>
        <w:r w:rsidRPr="00C30C6D">
          <w:rPr>
            <w:szCs w:val="18"/>
          </w:rPr>
          <w:t>Prve izmjene i dopune Urbanističkog plana uređenja naselja Medveja</w:t>
        </w:r>
      </w:p>
    </w:sdtContent>
  </w:sdt>
  <w:sdt>
    <w:sdtPr>
      <w:rPr>
        <w:b/>
        <w:bCs/>
        <w:sz w:val="28"/>
        <w:szCs w:val="18"/>
      </w:rPr>
      <w:alias w:val="Date"/>
      <w:id w:val="77547044"/>
      <w:placeholder>
        <w:docPart w:val="DA106798984D4A19B9C7B64F2D871A93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Content>
      <w:p w:rsidR="00C30C6D" w:rsidRPr="00C30C6D" w:rsidRDefault="00C30C6D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sz w:val="36"/>
          </w:rPr>
        </w:pPr>
        <w:r w:rsidRPr="00C30C6D">
          <w:rPr>
            <w:b/>
            <w:bCs/>
            <w:sz w:val="28"/>
            <w:szCs w:val="18"/>
          </w:rPr>
          <w:t>Odredbe za provođenje</w:t>
        </w:r>
      </w:p>
    </w:sdtContent>
  </w:sdt>
  <w:p w:rsidR="00C30C6D" w:rsidRDefault="00C30C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5363E"/>
    <w:multiLevelType w:val="hybridMultilevel"/>
    <w:tmpl w:val="D7789C38"/>
    <w:lvl w:ilvl="0" w:tplc="24589C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C6D"/>
    <w:rsid w:val="00020FCD"/>
    <w:rsid w:val="004E1889"/>
    <w:rsid w:val="00691BAF"/>
    <w:rsid w:val="006E6F3C"/>
    <w:rsid w:val="00934D65"/>
    <w:rsid w:val="00C3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0C6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30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C6D"/>
  </w:style>
  <w:style w:type="paragraph" w:styleId="Footer">
    <w:name w:val="footer"/>
    <w:basedOn w:val="Normal"/>
    <w:link w:val="FooterChar"/>
    <w:uiPriority w:val="99"/>
    <w:unhideWhenUsed/>
    <w:rsid w:val="00C30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C6D"/>
  </w:style>
  <w:style w:type="paragraph" w:styleId="BalloonText">
    <w:name w:val="Balloon Text"/>
    <w:basedOn w:val="Normal"/>
    <w:link w:val="BalloonTextChar"/>
    <w:uiPriority w:val="99"/>
    <w:semiHidden/>
    <w:unhideWhenUsed/>
    <w:rsid w:val="00C30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C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0C6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30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C6D"/>
  </w:style>
  <w:style w:type="paragraph" w:styleId="Footer">
    <w:name w:val="footer"/>
    <w:basedOn w:val="Normal"/>
    <w:link w:val="FooterChar"/>
    <w:uiPriority w:val="99"/>
    <w:unhideWhenUsed/>
    <w:rsid w:val="00C30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C6D"/>
  </w:style>
  <w:style w:type="paragraph" w:styleId="BalloonText">
    <w:name w:val="Balloon Text"/>
    <w:basedOn w:val="Normal"/>
    <w:link w:val="BalloonTextChar"/>
    <w:uiPriority w:val="99"/>
    <w:semiHidden/>
    <w:unhideWhenUsed/>
    <w:rsid w:val="00C30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0D03AC32CF94F80A260D8158A2FC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740D2-2EAA-430F-BC37-9A7FF01730EE}"/>
      </w:docPartPr>
      <w:docPartBody>
        <w:p w:rsidR="00000000" w:rsidRDefault="00AA577D" w:rsidP="00AA577D">
          <w:pPr>
            <w:pStyle w:val="C0D03AC32CF94F80A260D8158A2FCD0D"/>
          </w:pPr>
          <w:r>
            <w:t>[Type the document title]</w:t>
          </w:r>
        </w:p>
      </w:docPartBody>
    </w:docPart>
    <w:docPart>
      <w:docPartPr>
        <w:name w:val="DA106798984D4A19B9C7B64F2D871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86A40-8C75-458D-B486-A3F873AA24CC}"/>
      </w:docPartPr>
      <w:docPartBody>
        <w:p w:rsidR="00000000" w:rsidRDefault="00AA577D" w:rsidP="00AA577D">
          <w:pPr>
            <w:pStyle w:val="DA106798984D4A19B9C7B64F2D871A93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7D"/>
    <w:rsid w:val="009024A7"/>
    <w:rsid w:val="00AA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6F32C1D5904DDEB03BF544B0CC0C25">
    <w:name w:val="976F32C1D5904DDEB03BF544B0CC0C25"/>
    <w:rsid w:val="00AA577D"/>
  </w:style>
  <w:style w:type="paragraph" w:customStyle="1" w:styleId="03DC3DE7AFDB4F14927BAFD13482A913">
    <w:name w:val="03DC3DE7AFDB4F14927BAFD13482A913"/>
    <w:rsid w:val="00AA577D"/>
  </w:style>
  <w:style w:type="paragraph" w:customStyle="1" w:styleId="C0D03AC32CF94F80A260D8158A2FCD0D">
    <w:name w:val="C0D03AC32CF94F80A260D8158A2FCD0D"/>
    <w:rsid w:val="00AA577D"/>
  </w:style>
  <w:style w:type="paragraph" w:customStyle="1" w:styleId="DA106798984D4A19B9C7B64F2D871A93">
    <w:name w:val="DA106798984D4A19B9C7B64F2D871A93"/>
    <w:rsid w:val="00AA577D"/>
  </w:style>
  <w:style w:type="paragraph" w:customStyle="1" w:styleId="7317B243AAE64636A057507222FC62B2">
    <w:name w:val="7317B243AAE64636A057507222FC62B2"/>
    <w:rsid w:val="00AA577D"/>
  </w:style>
  <w:style w:type="paragraph" w:customStyle="1" w:styleId="505CF6B14621470A8C5582E62C33111C">
    <w:name w:val="505CF6B14621470A8C5582E62C33111C"/>
    <w:rsid w:val="00AA577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76F32C1D5904DDEB03BF544B0CC0C25">
    <w:name w:val="976F32C1D5904DDEB03BF544B0CC0C25"/>
    <w:rsid w:val="00AA577D"/>
  </w:style>
  <w:style w:type="paragraph" w:customStyle="1" w:styleId="03DC3DE7AFDB4F14927BAFD13482A913">
    <w:name w:val="03DC3DE7AFDB4F14927BAFD13482A913"/>
    <w:rsid w:val="00AA577D"/>
  </w:style>
  <w:style w:type="paragraph" w:customStyle="1" w:styleId="C0D03AC32CF94F80A260D8158A2FCD0D">
    <w:name w:val="C0D03AC32CF94F80A260D8158A2FCD0D"/>
    <w:rsid w:val="00AA577D"/>
  </w:style>
  <w:style w:type="paragraph" w:customStyle="1" w:styleId="DA106798984D4A19B9C7B64F2D871A93">
    <w:name w:val="DA106798984D4A19B9C7B64F2D871A93"/>
    <w:rsid w:val="00AA577D"/>
  </w:style>
  <w:style w:type="paragraph" w:customStyle="1" w:styleId="7317B243AAE64636A057507222FC62B2">
    <w:name w:val="7317B243AAE64636A057507222FC62B2"/>
    <w:rsid w:val="00AA577D"/>
  </w:style>
  <w:style w:type="paragraph" w:customStyle="1" w:styleId="505CF6B14621470A8C5582E62C33111C">
    <w:name w:val="505CF6B14621470A8C5582E62C33111C"/>
    <w:rsid w:val="00AA57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Odredbe za provođenje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Prve izmjene i dopune Urbanističkog plana uređenja naselja Medveja</dc:title>
  <dc:creator>Hermes</dc:creator>
  <cp:lastModifiedBy>Hermes</cp:lastModifiedBy>
  <cp:revision>1</cp:revision>
  <dcterms:created xsi:type="dcterms:W3CDTF">2012-06-29T09:30:00Z</dcterms:created>
  <dcterms:modified xsi:type="dcterms:W3CDTF">2012-06-29T10:33:00Z</dcterms:modified>
</cp:coreProperties>
</file>